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88" w:before="240" w:after="120"/>
        <w:rPr>
          <w:b/>
        </w:rPr>
      </w:pPr>
      <w:r>
        <w:rPr>
          <w:b/>
          <w:i w:val="false"/>
          <w:iCs w:val="false"/>
          <w:sz w:val="22"/>
          <w:szCs w:val="22"/>
        </w:rPr>
        <w:t>White Paper Proposal</w:t>
      </w:r>
      <w:bookmarkStart w:id="0" w:name="white_paper_proposal_one_pager"/>
      <w:r>
        <w:rPr>
          <w:b/>
          <w:i w:val="false"/>
          <w:iCs w:val="false"/>
          <w:sz w:val="22"/>
          <w:szCs w:val="22"/>
        </w:rPr>
        <w:t>:</w:t>
      </w:r>
      <w:bookmarkEnd w:id="0"/>
      <w:r>
        <w:rPr>
          <w:b/>
          <w:i w:val="false"/>
          <w:iCs w:val="false"/>
          <w:sz w:val="22"/>
          <w:szCs w:val="22"/>
        </w:rPr>
        <w:t xml:space="preserve"> </w:t>
      </w:r>
      <w:bookmarkStart w:id="1" w:name="rethinking_the_adoption_of_ai_sur_f04d0a"/>
      <w:r>
        <w:rPr>
          <w:b/>
          <w:i w:val="false"/>
          <w:iCs w:val="false"/>
          <w:sz w:val="22"/>
          <w:szCs w:val="22"/>
        </w:rPr>
        <w:t>Rethinking the Adoption of AI Surveillance Infrastructure: An Information Systems Governance Failure</w:t>
      </w:r>
      <w:bookmarkEnd w:id="1"/>
    </w:p>
    <w:p>
      <w:pPr>
        <w:pStyle w:val="Normal"/>
        <w:spacing w:lineRule="auto" w:line="240" w:before="0" w:after="210"/>
        <w:rPr>
          <w:i w:val="false"/>
          <w:iCs w:val="false"/>
        </w:rPr>
      </w:pPr>
      <w:r>
        <w:rPr>
          <w:b/>
          <w:i w:val="false"/>
          <w:iCs w:val="false"/>
        </w:rPr>
        <w:t>Topic:</w:t>
      </w:r>
      <w:r>
        <w:rPr>
          <w:i w:val="false"/>
          <w:iCs w:val="false"/>
        </w:rPr>
        <w:t xml:space="preserve"> The deployment of ALPR</w:t>
      </w:r>
      <w:r>
        <w:rPr>
          <w:i w:val="false"/>
          <w:iCs w:val="false"/>
        </w:rPr>
        <w:t>s</w:t>
      </w:r>
      <w:r>
        <w:rPr>
          <w:i w:val="false"/>
          <w:iCs w:val="false"/>
        </w:rPr>
        <w:t xml:space="preserve"> </w:t>
      </w:r>
      <w:r>
        <w:rPr>
          <w:i w:val="false"/>
          <w:iCs w:val="false"/>
        </w:rPr>
        <w:t>(Automated License Plate Reader)</w:t>
      </w:r>
      <w:r>
        <w:rPr>
          <w:i w:val="false"/>
          <w:iCs w:val="false"/>
        </w:rPr>
        <w:t xml:space="preserve"> </w:t>
      </w:r>
      <w:r>
        <w:rPr>
          <w:i w:val="false"/>
          <w:iCs w:val="false"/>
        </w:rPr>
        <w:t>and similar AI-based surveillance systems</w:t>
      </w:r>
      <w:r>
        <w:rPr>
          <w:i w:val="false"/>
          <w:iCs w:val="false"/>
        </w:rPr>
        <w:t xml:space="preserve"> across thousands of agencies reveals how </w:t>
      </w:r>
      <w:r>
        <w:rPr>
          <w:i w:val="false"/>
          <w:iCs w:val="false"/>
        </w:rPr>
        <w:t xml:space="preserve">an organizations failure to establish and adhere to governance frameworks before acquiring these systems can have cascading security, legal, and organizational risks. </w:t>
      </w:r>
    </w:p>
    <w:p>
      <w:pPr>
        <w:pStyle w:val="Normal"/>
        <w:spacing w:lineRule="auto" w:line="240" w:before="0" w:after="210"/>
        <w:rPr>
          <w:i w:val="false"/>
          <w:iCs w:val="false"/>
        </w:rPr>
      </w:pPr>
      <w:r>
        <w:rPr>
          <w:b/>
          <w:i w:val="false"/>
          <w:iCs w:val="false"/>
        </w:rPr>
        <w:t>Central Question:</w:t>
      </w:r>
      <w:r>
        <w:rPr>
          <w:i w:val="false"/>
          <w:iCs w:val="false"/>
        </w:rPr>
        <w:t xml:space="preserve"> How do inadequate information systems governance frameworks in AI surveillance deployments create preventable risk? </w:t>
      </w:r>
    </w:p>
    <w:p>
      <w:pPr>
        <w:pStyle w:val="Normal"/>
        <w:spacing w:lineRule="auto" w:line="240" w:before="0" w:after="210"/>
        <w:rPr>
          <w:i w:val="false"/>
          <w:iCs w:val="false"/>
        </w:rPr>
      </w:pPr>
      <w:r>
        <w:rPr>
          <w:b/>
          <w:i w:val="false"/>
          <w:iCs w:val="false"/>
        </w:rPr>
        <w:t xml:space="preserve">Thesis Statement: </w:t>
      </w:r>
      <w:r>
        <w:rPr>
          <w:i w:val="false"/>
          <w:iCs w:val="false"/>
        </w:rPr>
        <w:t xml:space="preserve">This white paper will argue that cities deploying ALPR systems without establishing governance frameworks face documented risks of security breaches, unauthorized access, litigation, and contract termination—and that implementing COBIT-aligned controls and ISO 27001 practices before deployment </w:t>
      </w:r>
      <w:r>
        <w:rPr>
          <w:i w:val="false"/>
          <w:iCs w:val="false"/>
        </w:rPr>
        <w:t>could prevent</w:t>
      </w:r>
      <w:r>
        <w:rPr>
          <w:i w:val="false"/>
          <w:iCs w:val="false"/>
        </w:rPr>
        <w:t xml:space="preserve"> organizational failure.</w:t>
      </w:r>
    </w:p>
    <w:p>
      <w:pPr>
        <w:pStyle w:val="Normal"/>
        <w:spacing w:lineRule="auto" w:line="271" w:before="240" w:after="120"/>
        <w:rPr>
          <w:b/>
          <w:i w:val="false"/>
          <w:iCs w:val="false"/>
          <w:sz w:val="22"/>
          <w:szCs w:val="22"/>
        </w:rPr>
      </w:pPr>
      <w:r>
        <w:rPr>
          <w:b/>
          <w:i w:val="false"/>
          <w:iCs w:val="false"/>
          <w:sz w:val="22"/>
          <w:szCs w:val="22"/>
        </w:rPr>
        <w:t>Problem Significance:</w:t>
      </w:r>
    </w:p>
    <w:p>
      <w:pPr>
        <w:pStyle w:val="Normal"/>
        <w:spacing w:lineRule="auto" w:line="240" w:before="0" w:after="210"/>
        <w:rPr>
          <w:i w:val="false"/>
          <w:iCs w:val="false"/>
        </w:rPr>
      </w:pPr>
      <w:r>
        <w:rPr>
          <w:i w:val="false"/>
          <w:iCs w:val="false"/>
        </w:rPr>
        <w:t xml:space="preserve">ALPR </w:t>
      </w:r>
      <w:r>
        <w:rPr>
          <w:i w:val="false"/>
          <w:iCs w:val="false"/>
        </w:rPr>
        <w:t xml:space="preserve">and similar AI-based surveillance </w:t>
      </w:r>
      <w:r>
        <w:rPr>
          <w:i w:val="false"/>
          <w:iCs w:val="false"/>
        </w:rPr>
        <w:t xml:space="preserve">infrastructure operates across thousands of U.S. agencies and communities. </w:t>
      </w:r>
      <w:r>
        <w:rPr>
          <w:i w:val="false"/>
          <w:iCs w:val="false"/>
          <w:shd w:fill="FFFF00" w:val="clear"/>
        </w:rPr>
        <w:t>Yet investigations reveal organizations acquired these mission-critical systems without fundamental information security and governance controls:</w:t>
      </w:r>
    </w:p>
    <w:p>
      <w:pPr>
        <w:pStyle w:val="Normal"/>
        <w:numPr>
          <w:ilvl w:val="0"/>
          <w:numId w:val="1"/>
        </w:numPr>
        <w:spacing w:lineRule="auto" w:line="240"/>
        <w:rPr>
          <w:i w:val="false"/>
          <w:iCs w:val="false"/>
        </w:rPr>
      </w:pPr>
      <w:commentRangeStart w:id="0"/>
      <w:r>
        <w:rPr>
          <w:b/>
          <w:i w:val="false"/>
          <w:iCs w:val="false"/>
        </w:rPr>
        <w:t>Data Architecture:</w:t>
      </w:r>
      <w:r>
        <w:rPr>
          <w:i w:val="false"/>
          <w:iCs w:val="false"/>
        </w:rPr>
        <w:t xml:space="preserve"> 150+ Motorola ALPR cameras exposed video feeds and license plate data with unencrypted storage and weak credentials.[1]</w:t>
      </w:r>
    </w:p>
    <w:p>
      <w:pPr>
        <w:pStyle w:val="Normal"/>
        <w:numPr>
          <w:ilvl w:val="0"/>
          <w:numId w:val="1"/>
        </w:numPr>
        <w:spacing w:lineRule="auto" w:line="240"/>
        <w:rPr>
          <w:i w:val="false"/>
          <w:iCs w:val="false"/>
        </w:rPr>
      </w:pPr>
      <w:r>
        <w:rPr>
          <w:b/>
          <w:i w:val="false"/>
          <w:iCs w:val="false"/>
        </w:rPr>
        <w:t>Access Control:</w:t>
      </w:r>
      <w:r>
        <w:rPr>
          <w:i w:val="false"/>
          <w:iCs w:val="false"/>
        </w:rPr>
        <w:t xml:space="preserve"> Cross-jurisdictional ALPR data access by federal and out-of-state agencies occurred with limited governance oversight.[2]</w:t>
      </w:r>
    </w:p>
    <w:p>
      <w:pPr>
        <w:pStyle w:val="Normal"/>
        <w:numPr>
          <w:ilvl w:val="0"/>
          <w:numId w:val="1"/>
        </w:numPr>
        <w:spacing w:lineRule="auto" w:line="240"/>
        <w:rPr>
          <w:i w:val="false"/>
          <w:iCs w:val="false"/>
        </w:rPr>
      </w:pPr>
      <w:r>
        <w:rPr>
          <w:b/>
          <w:i w:val="false"/>
          <w:iCs w:val="false"/>
        </w:rPr>
        <w:t>Audit Trails:</w:t>
      </w:r>
      <w:r>
        <w:rPr>
          <w:i w:val="false"/>
          <w:iCs w:val="false"/>
        </w:rPr>
        <w:t xml:space="preserve"> ALPR systems enabled large query volumes with generic justifications and weak auditing, enabling misuse difficult to detect.[3]</w:t>
      </w:r>
    </w:p>
    <w:p>
      <w:pPr>
        <w:pStyle w:val="Normal"/>
        <w:numPr>
          <w:ilvl w:val="0"/>
          <w:numId w:val="1"/>
        </w:numPr>
        <w:spacing w:lineRule="auto" w:line="240"/>
        <w:rPr>
          <w:i w:val="false"/>
          <w:iCs w:val="false"/>
        </w:rPr>
      </w:pPr>
      <w:r>
        <w:rPr>
          <w:b/>
          <w:i w:val="false"/>
          <w:iCs w:val="false"/>
        </w:rPr>
        <w:t>Real Consequences:</w:t>
      </w:r>
      <w:r>
        <w:rPr>
          <w:i w:val="false"/>
          <w:iCs w:val="false"/>
        </w:rPr>
        <w:t xml:space="preserve"> Multiple cities and counties terminated or renegotiated Flock contracts after governance violations surfaced.[4]</w:t>
      </w:r>
      <w:commentRangeEnd w:id="0"/>
      <w:r>
        <w:commentReference w:id="0"/>
      </w:r>
      <w:r>
        <w:rPr>
          <w:i w:val="false"/>
          <w:iCs w:val="false"/>
        </w:rPr>
      </w:r>
    </w:p>
    <w:p>
      <w:pPr>
        <w:pStyle w:val="Normal"/>
        <w:spacing w:lineRule="auto" w:line="240" w:before="0" w:after="210"/>
        <w:rPr>
          <w:i w:val="false"/>
          <w:iCs w:val="false"/>
        </w:rPr>
      </w:pPr>
      <w:r>
        <w:rPr>
          <w:b/>
          <w:i w:val="false"/>
          <w:iCs w:val="false"/>
        </w:rPr>
        <w:t>Why It Matters:</w:t>
      </w:r>
      <w:r>
        <w:rPr>
          <w:rFonts w:eastAsia="Georgia" w:cs="Georgia"/>
          <w:i w:val="false"/>
          <w:iCs w:val="false"/>
        </w:rPr>
        <w:t xml:space="preserve"> These are not isolated incidents—they demonstrate systemic governance failure in emerging technology adoption. Without COBIT-aligned controls and ISO 27001 security practices </w:t>
      </w:r>
      <w:r>
        <w:rPr>
          <w:i w:val="false"/>
          <w:iCs w:val="false"/>
        </w:rPr>
        <w:t>before deployment, organizations face civil litigation, regulatory non-compliance, reputational damage, and mission creep (ALPR expanding to algorithmic pattern detection, gunshot detection networks).[5][6][7]</w:t>
      </w:r>
    </w:p>
    <w:p>
      <w:pPr>
        <w:pStyle w:val="Normal"/>
        <w:spacing w:lineRule="auto" w:line="240" w:before="0" w:after="210"/>
        <w:rPr>
          <w:i w:val="false"/>
          <w:iCs w:val="false"/>
        </w:rPr>
      </w:pPr>
      <w:r>
        <w:rPr>
          <w:b/>
          <w:i w:val="false"/>
          <w:iCs w:val="false"/>
        </w:rPr>
        <w:t>Why Now (Early 2026):</w:t>
      </w:r>
      <w:r>
        <w:rPr>
          <w:rFonts w:eastAsia="Georgia" w:cs="Georgia"/>
          <w:i w:val="false"/>
          <w:iCs w:val="false"/>
        </w:rPr>
        <w:t xml:space="preserve"> (1) CISA identified serious ALPR vulnerabilities (encryption gaps, default credentials).[1] (2) State policies (California SB-274, Virginia ALPR Policy) now mandate data controls existing deployments lack.[6] (3) Active city terminations and policy shifts demonstrate organizations are correcting governance failures—too late.[8]</w:t>
      </w:r>
    </w:p>
    <w:p>
      <w:pPr>
        <w:pStyle w:val="Normal"/>
        <w:spacing w:lineRule="auto" w:line="271" w:before="240" w:after="120"/>
        <w:rPr>
          <w:b/>
          <w:i w:val="false"/>
          <w:iCs w:val="false"/>
          <w:sz w:val="22"/>
          <w:szCs w:val="22"/>
        </w:rPr>
      </w:pPr>
      <w:r>
        <w:rPr>
          <w:b/>
          <w:i w:val="false"/>
          <w:iCs w:val="false"/>
          <w:sz w:val="22"/>
          <w:szCs w:val="22"/>
        </w:rPr>
        <w:t>Intended Audience &amp;</w:t>
      </w:r>
      <w:r>
        <w:rPr>
          <w:b/>
          <w:i w:val="false"/>
          <w:iCs w:val="false"/>
          <w:sz w:val="22"/>
          <w:szCs w:val="22"/>
          <w:shd w:fill="auto" w:val="clear"/>
        </w:rPr>
        <w:t xml:space="preserve"> Academic Relevance</w:t>
      </w:r>
    </w:p>
    <w:p>
      <w:pPr>
        <w:pStyle w:val="Normal"/>
        <w:spacing w:lineRule="auto" w:line="240" w:before="0" w:after="210"/>
        <w:rPr>
          <w:i w:val="false"/>
          <w:iCs w:val="false"/>
          <w:highlight w:val="none"/>
          <w:shd w:fill="auto" w:val="clear"/>
        </w:rPr>
      </w:pPr>
      <w:r>
        <w:rPr>
          <w:b/>
          <w:i w:val="false"/>
          <w:iCs w:val="false"/>
          <w:shd w:fill="auto" w:val="clear"/>
        </w:rPr>
        <w:t>Primary Audience:</w:t>
      </w:r>
      <w:r>
        <w:rPr>
          <w:i w:val="false"/>
          <w:iCs w:val="false"/>
          <w:shd w:fill="auto" w:val="clear"/>
        </w:rPr>
        <w:t xml:space="preserve"> Municipal CIOs, IT Directors, and City Technology Decision-Makers deciding whether to deploy ALPR and what governance must precede deployment.</w:t>
      </w:r>
    </w:p>
    <w:p>
      <w:pPr>
        <w:pStyle w:val="Normal"/>
        <w:spacing w:lineRule="auto" w:line="240" w:before="0" w:after="210"/>
        <w:rPr>
          <w:i w:val="false"/>
          <w:iCs w:val="false"/>
          <w:highlight w:val="none"/>
          <w:shd w:fill="auto" w:val="clear"/>
        </w:rPr>
      </w:pPr>
      <w:r>
        <w:rPr>
          <w:b/>
          <w:i w:val="false"/>
          <w:iCs w:val="false"/>
          <w:shd w:fill="auto" w:val="clear"/>
        </w:rPr>
        <w:t>Academic Context:</w:t>
      </w:r>
      <w:r>
        <w:rPr>
          <w:i w:val="false"/>
          <w:iCs w:val="false"/>
          <w:shd w:fill="auto" w:val="clear"/>
        </w:rPr>
        <w:t xml:space="preserve"> COBIT 2022, Zachman Framework, TOGAF, and ISO 27001 provide governance and architecture standards for sensitive data systems. </w:t>
      </w:r>
    </w:p>
    <w:p>
      <w:pPr>
        <w:pStyle w:val="Normal"/>
        <w:spacing w:lineRule="auto" w:line="240" w:before="0" w:after="210"/>
        <w:rPr>
          <w:i w:val="false"/>
          <w:iCs w:val="false"/>
        </w:rPr>
      </w:pPr>
      <w:r>
        <w:rPr>
          <w:b/>
          <w:i w:val="false"/>
          <w:iCs w:val="false"/>
        </w:rPr>
        <w:t>Competing Perspective:</w:t>
      </w:r>
      <w:r>
        <w:rPr>
          <w:i w:val="false"/>
          <w:iCs w:val="false"/>
        </w:rPr>
        <w:t xml:space="preserve"> Vendors and agencies argue surveillance provides public safety benefits. This paper acknowledges this but argues: legitimate use cases do not eliminate governance requirements. Delaying governance creates liability.</w:t>
      </w:r>
    </w:p>
    <w:p>
      <w:pPr>
        <w:pStyle w:val="Normal"/>
        <w:spacing w:lineRule="auto" w:line="271" w:before="240" w:after="120"/>
        <w:rPr>
          <w:b/>
          <w:i w:val="false"/>
          <w:iCs w:val="false"/>
          <w:sz w:val="22"/>
          <w:szCs w:val="22"/>
        </w:rPr>
      </w:pPr>
      <w:r>
        <w:rPr>
          <w:b/>
          <w:i w:val="false"/>
          <w:iCs w:val="false"/>
          <w:sz w:val="22"/>
          <w:szCs w:val="22"/>
        </w:rPr>
        <w:t xml:space="preserve">Relevant Academic Literature </w:t>
      </w:r>
      <w:r>
        <w:rPr>
          <w:b/>
          <w:i w:val="false"/>
          <w:iCs w:val="false"/>
          <w:sz w:val="22"/>
          <w:szCs w:val="22"/>
        </w:rPr>
        <w:t xml:space="preserve"> </w:t>
      </w:r>
    </w:p>
    <w:p>
      <w:pPr>
        <w:pStyle w:val="Normal"/>
        <w:spacing w:lineRule="auto" w:line="240" w:before="0" w:after="210"/>
        <w:rPr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spacing w:lineRule="auto" w:line="271" w:before="240" w:after="120"/>
        <w:rPr>
          <w:b/>
          <w:i w:val="false"/>
          <w:iCs w:val="false"/>
          <w:sz w:val="22"/>
          <w:szCs w:val="22"/>
        </w:rPr>
      </w:pPr>
      <w:r>
        <w:rPr>
          <w:b/>
          <w:i w:val="false"/>
          <w:iCs w:val="false"/>
          <w:sz w:val="22"/>
          <w:szCs w:val="22"/>
        </w:rPr>
        <w:t>Competing Perspectives, Tradeoffs, or Open Questions</w:t>
      </w:r>
    </w:p>
    <w:p>
      <w:pPr>
        <w:pStyle w:val="Normal"/>
        <w:spacing w:lineRule="auto" w:line="240" w:before="0" w:after="210"/>
        <w:rPr>
          <w:i w:val="false"/>
          <w:iCs w:val="false"/>
          <w:color w:val="4472C4"/>
        </w:rPr>
      </w:pPr>
      <w:r>
        <w:rPr>
          <w:i w:val="false"/>
          <w:iCs w:val="false"/>
        </w:rPr>
      </w:r>
    </w:p>
    <w:sectPr>
      <w:type w:val="nextPage"/>
      <w:pgSz w:w="12240" w:h="15840"/>
      <w:pgMar w:left="1775" w:right="1775" w:gutter="0" w:header="0" w:top="1415" w:footer="0" w:bottom="1415"/>
      <w:pgNumType w:fmt="decimal"/>
      <w:formProt w:val="false"/>
      <w:textDirection w:val="lrTb"/>
      <w:docGrid w:type="default" w:linePitch="100" w:charSpace="0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Unknown Author" w:date="2026-01-18T20:04:52Z" w:initials="">
    <w:p>
      <w:pPr>
        <w:overflowPunct w:val="false"/>
        <w:spacing w:lineRule="auto" w:line="240" w:before="0" w:after="0"/>
        <w:rPr/>
      </w:pPr>
      <w:r>
        <w:annotationRef/>
      </w:r>
      <w:r>
        <w:rPr>
          <w:rFonts w:cs="Tahoma" w:eastAsia="Tahoma" w:ascii="Liberation Serif" w:hAnsi="Liberation Serif"/>
          <w:sz w:val="24"/>
          <w:szCs w:val="24"/>
          <w:lang w:bidi="en-US" w:eastAsia="en-US" w:val="en-US"/>
        </w:rPr>
        <w:t>None of the references here is from research papers which should take priority. I think they offer good talking points however it may not be a strong enough resource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Georgia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•"/>
      <w:lvlJc w:val="start"/>
      <w:pPr>
        <w:tabs>
          <w:tab w:val="num" w:pos="1080"/>
        </w:tabs>
        <w:ind w:start="720" w:hanging="360"/>
      </w:pPr>
      <w:rPr>
        <w:rFonts w:eastAsia="Georgia" w:cs="Georgia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75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orgia" w:hAnsi="Georgia" w:eastAsia="" w:cs="" w:cstheme="minorBidi" w:eastAsiaTheme="minorHAnsi" w:hAnsiTheme="minorHAnsi"/>
        <w:sz w:val="21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tLeast" w:line="240" w:before="0" w:after="120"/>
      <w:jc w:val="start"/>
    </w:pPr>
    <w:rPr>
      <w:rFonts w:ascii="Georgia" w:hAnsi="Georgia" w:eastAsia="" w:cs="" w:cstheme="minorBidi" w:eastAsiaTheme="minorHAnsi" w:hAnsiTheme="minorHAnsi"/>
      <w:color w:val="auto"/>
      <w:kern w:val="0"/>
      <w:sz w:val="21"/>
      <w:szCs w:val="22"/>
      <w:lang w:val="en-US" w:eastAsia="en-US" w:bidi="ar-SA"/>
    </w:rPr>
  </w:style>
  <w:style w:type="character" w:styleId="VerbatimChar" w:customStyle="1">
    <w:name w:val="Verbatim Char"/>
    <w:qFormat/>
    <w:rPr>
      <w:rFonts w:ascii="Consolas" w:hAnsi="Consolas"/>
      <w:sz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omment">
    <w:name w:val="Comment"/>
    <w:basedOn w:val="Normal"/>
    <w:qFormat/>
    <w:pPr>
      <w:spacing w:lineRule="auto" w:line="240" w:before="56" w:after="0"/>
      <w:ind w:hanging="0" w:start="57" w:end="57"/>
    </w:pPr>
    <w:rPr>
      <w:color w:val="aut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comments" Target="comment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</TotalTime>
  <Application>LibreOffice/25.8.4.2$MacOSX_AARCH64 LibreOffice_project/290daaa01b999472f0c7a3890eb6a550fd74c6df</Application>
  <AppVersion>15.0000</AppVersion>
  <Pages>2</Pages>
  <Words>394</Words>
  <Characters>2790</Characters>
  <CharactersWithSpaces>3164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2026-01-19T01:39:02Z</dcterms:created>
  <dc:creator>html-to-docx</dc:creator>
  <dc:description/>
  <cp:keywords>html-to-docx</cp:keywords>
  <dc:language>en-US</dc:language>
  <cp:lastModifiedBy/>
  <dcterms:modified xsi:type="dcterms:W3CDTF">2026-01-18T20:18:26Z</dcterms:modified>
  <cp:revision>6</cp:revision>
  <dc:subject/>
  <dc:title/>
</cp:coreProperties>
</file>