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fourth of five assignments that you will complete over the course of the semester: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a tentative idea of what we are looking for in Assignment 4. This may change before final grading, but gives criteria to aim for with your submission. A “4” in a category requires all requested elements to be present. Missing elements will result in a lower 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Peer Evaluation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Updated Structural Design (20%):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Overall design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Extensible OO design that is clearly capable of providing the requested functionality.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cohesion and low coupling.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interfacing with MEAT is through a defined interface. Access is controlled, and proper privacy and scoping is maintained.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Customized Exceptions 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Diagram  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formed UML.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External files and systems should not be present in class diagram.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Justification and Explanation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  IMPORTANT   to   justify and explain   your   design.   Must   show   that   different   options   were  considered   and   why/how   group   arrived   at   final   design.   Must   demonstrate  understanding of OO principles.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Automatic maximum of 2 on this section if no justification present.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Class Descriptions​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Level of detail is sufficient. Is this implementable by another team?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Dynamic Design (20%):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Diagrams  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Properly formed UML 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Named instances, not just class names, in boxes.   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Life​ lines and activation boxes present   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 present   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and returns properly labeled   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 description present and understandable.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Style (15%):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a random sampling of the source code, we are looking at: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Consistent bracketing and tab/spacing style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Descriptive variable names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JavaDocs present and used correctly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Sufficient comments to understand 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Missing any one results in ­-1 to score for that section.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Runtime Behavior (40%):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Passes a series of test cases, executed through the scripting interface.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 will correspond to each available feature - such as scheduling a meeting, editing a meeting, viewing schedules, booking vacation time, etc.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Passes a series of scenarios performed through the interactive interface.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Results consistent between scripting and interactive interfaces.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