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Preliminary Course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lecture plan may change based on the availability of potential guest speakers or to facilitate more explanation of certain topics. Assignment due dates are tentative. Updated versions of this schedule will be distributed on Moodle as details are finalized.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20"/>
        <w:gridCol w:w="3810"/>
        <w:gridCol w:w="3420"/>
        <w:tblGridChange w:id="0">
          <w:tblGrid>
            <w:gridCol w:w="1110"/>
            <w:gridCol w:w="1020"/>
            <w:gridCol w:w="3810"/>
            <w:gridCol w:w="34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08/18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Course Overview, Software Product and Principles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08/23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Planning and Development Processes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Last day to drop/add without “W” (08/24)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08/25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Agile Processes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08/30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Software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Selection Due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Writing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Requirements Elicitation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Digital Elicitation Opens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Requirements Refinement and Testability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Requirements-based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World-Machine Model</w:t>
            </w:r>
            <w:r w:rsidDel="00000000" w:rsidR="00000000" w:rsidRPr="00000000">
              <w:rPr>
                <w:b w:val="1"/>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Requirements Modeling and Verification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1 Due - 09/18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 Fundamentals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Software Architecture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Midterm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2 Due - 10/02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Midterm Exam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OO Overview, Class Diagrams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Last day to drop without “WF” (10/10)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 Modeling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 Class - Fall Break</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10/18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Interaction Diagrams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 Patterns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 Patterns (Part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10/27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From Design to Implementation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3 Due - 10/27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Testing Fundamentals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Structural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11/08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 Class - Election Day</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Testing Strategies and Automation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Software Test Oracles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Reliability/When to Stop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4 Due - 11/17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11/22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 Class - Instructor Traveling</w:t>
            </w:r>
          </w:p>
          <w:p w:rsidR="00000000" w:rsidDel="00000000" w:rsidP="00000000" w:rsidRDefault="00000000" w:rsidRPr="00000000">
            <w:pPr>
              <w:spacing w:line="240" w:lineRule="auto"/>
              <w:contextualSpacing w:val="0"/>
            </w:pPr>
            <w:r w:rsidDel="00000000" w:rsidR="00000000" w:rsidRPr="00000000">
              <w:rPr>
                <w:b w:val="1"/>
                <w:rtl w:val="0"/>
              </w:rPr>
              <w:t xml:space="preserve">Recommended Work 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11/24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 Class - Thanksgiving Break</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11/29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Software (Re)Engineering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Course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Final Exam (9:00 - 11:30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5 Due - 12/06</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