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CSCE 740 - Preliminary Course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that the lecture plan may change based on the availability of potential guest speakers or to facilitate more explanation of certain topics. Assignment due dates are tentative. Updated versions of this schedule will be distributed on Moodle as details are finalized.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020"/>
        <w:gridCol w:w="3810"/>
        <w:gridCol w:w="3420"/>
        <w:tblGridChange w:id="0">
          <w:tblGrid>
            <w:gridCol w:w="1110"/>
            <w:gridCol w:w="1020"/>
            <w:gridCol w:w="3810"/>
            <w:gridCol w:w="34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Lecture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Topic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Note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08/24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Course Overview, Software Product and Principles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08/29</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Planning and Development Processes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Last day to drop/add without “W” (08/30)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08/31</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Agile Processes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09/05</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Software Requirements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Team Selection Due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09/07</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rtl w:val="0"/>
              </w:rPr>
              <w:t xml:space="preserve">No Class - Instructor Traveling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09/12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Writing Requirements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09/14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Requirements Elicitation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Digital Elicitation Opens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09/19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Requirements Refinement and Testability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09/21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Requirements-based Testing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09/26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The World-Machine Model</w:t>
            </w:r>
            <w:r w:rsidDel="00000000" w:rsidR="00000000" w:rsidRPr="00000000">
              <w:rPr>
                <w:b w:val="1"/>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Project 1 Due (09/27)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09/28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 Analysis and Verification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10/03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Design Fundamentals</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10/05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Software Architecture</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10/10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Midterm Review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Project 2 Due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10/12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Midterm Exam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Last day to drop without “WF” (10/16)</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10/17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OO Overview, Class Diagrams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10/19</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No Class - Fall Break</w:t>
            </w:r>
          </w:p>
        </w:tc>
        <w:tc>
          <w:tcPr>
            <w:shd w:fill="000000"/>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17</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10/24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Object Modeling</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10/26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Design Patterns</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10/31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Design Patterns (Part 2)</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11/02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Dynamic Modeling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21</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11/07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From Design to Implementation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Project 3 Due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22</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11/09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Testing Fundamentals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11/14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Structural Testing</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24</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11/16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Structural Testing (Part 2)</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25</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11/21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Test Execution and Automation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11/23</w:t>
            </w:r>
          </w:p>
        </w:tc>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No Class - Thanksgiving Break</w:t>
            </w:r>
          </w:p>
        </w:tc>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26</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11/28</w:t>
            </w:r>
          </w:p>
        </w:tc>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Unit Testing Laboratory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Project 4 Due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27</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11/30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Dependability and When to Stop Testing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28</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12/05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Software (Re)Engineering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29</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12/07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Course Review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12/14</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Final Exam (9:00 - 11:30 AM)</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Project 5 Due (12/12)</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