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0 - Team Selection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January 21st,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class, you will work in small groups. Most homework assignments (if not all) will be group assignments. This handout outlines the group selection process, the expectations on the groups, and some hints on how to run an effective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three people</w:t>
      </w:r>
      <w:r w:rsidDel="00000000" w:rsidR="00000000" w:rsidRPr="00000000">
        <w:rPr>
          <w:rtl w:val="0"/>
        </w:rPr>
        <w:t xml:space="preserve">. If you cannot find a team to work with, you can submit your name to the professor, and they will assign you to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selection process works as follows: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have one colleague and want a random third member assigned, or if you just want to be assigned to a team, e-mail the professor and inform them of this. We will assign the remaining members to your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send one e-mail per group. In the email, we want to see (1) name of each team members and (2) email address for each team member. We will assign a team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Switching team members will only be allowed in the most severe of circumstances.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these expectations clearly and voicing concerns within the team clearly are a must.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working in the team you will be subjected to one or more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course may be a lot of work. The assignments may not seem that tough when you start out, but you will discover that all the reading, writing, and producing test cases can be difficult and time-consuming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