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747 - Preliminary Course Schedule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the lecture plan may change based on the availability of potential guest speakers or to facilitate more explanation of certain topics. Assignment due dates are tentative. Updated versions of this schedule will be distributed on Moodle as details are finalized.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020"/>
        <w:gridCol w:w="3810"/>
        <w:gridCol w:w="3420"/>
        <w:tblGridChange w:id="0">
          <w:tblGrid>
            <w:gridCol w:w="1110"/>
            <w:gridCol w:w="1020"/>
            <w:gridCol w:w="3810"/>
            <w:gridCol w:w="34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Lecture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Topic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01/12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Course Overview: Verification and Validation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01/14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Testing Fundamentals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01/19</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Modeling Software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Last day to drop/add without “W”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01/21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Functional Testing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Team Selections Due</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01/26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Combinatorial Testing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Reading Assignment 1 Due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01/28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Structural Testing</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02/02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Structural Testing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02/04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Data Flow Analysis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Assignment 1 Due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02/09</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Data Flow Testing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02/11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Model-Based Testing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Reading Assignment 2 Due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02/16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 Oracles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02/18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Testing Object-Oriented Software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02/23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Testing Object-Oriented Software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Assignment 2 Due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02/25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Finite State Verification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03/01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Symbolic Execution and Proof of Properties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03/03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Program Analysis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Reading Assignment 3 Due</w:t>
            </w:r>
          </w:p>
          <w:p w:rsidR="00000000" w:rsidDel="00000000" w:rsidP="00000000" w:rsidRDefault="00000000" w:rsidRPr="00000000">
            <w:pPr>
              <w:widowControl w:val="0"/>
              <w:spacing w:line="240" w:lineRule="auto"/>
              <w:contextualSpacing w:val="0"/>
            </w:pPr>
            <w:r w:rsidDel="00000000" w:rsidR="00000000" w:rsidRPr="00000000">
              <w:rPr>
                <w:rtl w:val="0"/>
              </w:rPr>
              <w:t xml:space="preserve">Last day to drop without “WF”</w:t>
            </w:r>
          </w:p>
        </w:tc>
      </w:tr>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03/08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 Class - Spring Break</w:t>
            </w:r>
          </w:p>
        </w:tc>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03/10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No Class - Spring Break</w:t>
            </w:r>
          </w:p>
        </w:tc>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03/15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Test Execution and Automation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03/17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Unit Testing Laboratory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Assignment 3 Due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03/22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Fault-Based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03/24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Automated Test Case Generation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Reading Assignment 4 Due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03/29</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Automated Test Case Generation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03/31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Software Inspections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04/05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Release and Post-Release Testing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Assignment 4 Due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04/07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Dependability and Statistical Testing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04/12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Testing in Development Processes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04/14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Class Cancelled</w:t>
            </w:r>
            <w:r w:rsidDel="00000000" w:rsidR="00000000" w:rsidRPr="00000000">
              <w:rPr>
                <w:rtl w:val="0"/>
              </w:rPr>
            </w:r>
          </w:p>
        </w:tc>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04/19</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Presentations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04/21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Presentations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04/26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Presentations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Assignment 5 Due (April 25)</w:t>
            </w:r>
          </w:p>
        </w:tc>
      </w:tr>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05/03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Final Exam Slot (9:00 - 11:30 AM) </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Presentations</w:t>
            </w:r>
          </w:p>
        </w:tc>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