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Model-Based Testing Activity</w:t>
        <w:br w:type="textWrapping"/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following finite state machine:</w:t>
        <w:br w:type="textWrapping"/>
      </w:r>
      <w:r w:rsidDel="00000000" w:rsidR="00000000" w:rsidRPr="00000000">
        <w:drawing>
          <wp:inline distB="19050" distT="19050" distL="19050" distR="19050">
            <wp:extent cx="3760750" cy="2444249"/>
            <wp:effectExtent b="0" l="0" r="0" t="0"/>
            <wp:docPr descr="model-top.png" id="1" name="image02.png"/>
            <a:graphic>
              <a:graphicData uri="http://schemas.openxmlformats.org/drawingml/2006/picture">
                <pic:pic>
                  <pic:nvPicPr>
                    <pic:cNvPr descr="model-top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0750" cy="2444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Input: sense (boolean), timeIn (integer). Output: pace (boolean), timeOut (integer)</w:t>
        <w:br w:type="textWrapping"/>
        <w:t xml:space="preserve">Model:</w:t>
        <w:br w:type="textWrapping"/>
      </w:r>
      <w:r w:rsidDel="00000000" w:rsidR="00000000" w:rsidRPr="00000000">
        <w:drawing>
          <wp:inline distB="19050" distT="19050" distL="19050" distR="19050">
            <wp:extent cx="5943600" cy="2209800"/>
            <wp:effectExtent b="38100" l="38100" r="38100" t="38100"/>
            <wp:docPr descr="model.png" id="2" name="image03.png"/>
            <a:graphic>
              <a:graphicData uri="http://schemas.openxmlformats.org/drawingml/2006/picture">
                <pic:pic>
                  <pic:nvPicPr>
                    <pic:cNvPr descr="model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Derive a test suite that achieves state coverage.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the same model, derive a test suite that achieves transition coverage.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