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 following is a tentative idea of what we are looking for in Assignment 5. This may change before final grading, but gives criteria to aim for with your submission. A “4” in a category requires all requested elements to be present. Missing elements will result in a lower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Code Style (20%):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a random sampling of the test code, we are looking at: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bracketing and tab/spacing style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variable, method, and class names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JavaDocs present and used correctly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Sufficient comments to understand code (if in doubt, show it to someone not on your team and ask them if they understand the code - or ask us)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Missing any one results in -­1 to score for that section.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(60%):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system functionality tested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“happy path” and error cases tested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I/O sufficiently detailed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Success/failure conditions well-defined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Pre/post conditions well-defined (proper use of initialization and tear down)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80% code coverage achieved on all classes.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 (20%):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execution report included and complete.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notes why any tests failed and what code changes are needed to result in a pass verdict.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coverage report included and complete.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Justification exists for uncovered elements.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