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 / DAT560 - Partial Solution for Exercise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This solution omits some aspects, such as international vs domestic transfer times, but can help if you get stuck on this exercise.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Parameter: FlightA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Flight code: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(string that does not follow stated formatting convention) [error]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in database [error] (Note: I assumed here that there was a flight database too. State any assumptions you make in your answer.)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 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Originating airport code: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a three-letter string) [error]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in database [error]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 city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Scheduled departure time: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following formatting convention) [error]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out of legal range (not a valid time) [error]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Destination airport (transfer airport - where connection takes place):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a three-letter string) [error]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in database [error]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 city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Scheduled arrival time (tA):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following formatting convention) [error]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out of legal range (not a valid time) [error]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Parameter: FlightB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Flight code: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(string that does not follow stated formatting convention) [error]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in database [error]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Originating airport code: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a three-letter string) [error]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in database [error]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differs from transfer airport [error]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same as transfer airport 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Scheduled departure time: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following formatting convention) [error]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out of legal range (not a valid time) [error]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before arriving flight time (tA) [error]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between tA and tA + minimum connection time (CT) [error]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equal to tA + CT [single]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greater than tA + CT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Destination airport code: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a three-letter string) [error]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in database [error]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 city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Scheduled arrival time: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following formatting convention) [error]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out of legal range (not a valid time) [error]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Parameter: Database record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This parameter refers to the database record corresponding to the transfer airport.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Airport country: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null [error]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blank [error]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a country [error]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Minimum connection time: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blank [error]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&lt; 0 [error]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0 [single]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&gt;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