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Partial Solution for 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solution omits some aspects, such as international vs domestic transfer times, but can help if you get stuck on this exercise.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FlightA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Flight code: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(string that does not follow stated formatting convention) [error]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 (Note: I assumed here that there was a flight database too. State any assumptions you make in your answer.)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Originating airport code: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departure time: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Destination airport (transfer airport - where connection takes place):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arrival time (tA):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FlightB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Flight code: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(string that does not follow stated formatting convention) [error]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Originating airport code: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differs from transfer airport [error]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same as transfer airport 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departure time: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before arriving flight time (tA) [error]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between tA and tA + minimum connection time (CT) [error]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equal to tA + CT [single]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greater than tA + CT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Destination airport code: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not in database [error]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 city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Scheduled arrival time: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 of legal range (not a valid time) [error]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Parameter: Database record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This parameter refers to the database record corresponding to the transfer airport.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Airport code: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a three-letter string) [error]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blank [error]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Airport country: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(non-string) [error]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blank [error]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Invalid (not a country) [error]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Choice: Minimum connection time: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malformed (not following formatting convention) [error]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blank [error]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&gt; 0 [error]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0 [single]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