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Data Flow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public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(1, 4) is a DU pair for variable x.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test input that achieves All DU Pair Coverage over the code.</w:t>
        <w:br w:type="textWrapping"/>
        <w:br w:type="textWrapping"/>
        <w:t xml:space="preserve">You do not need to create full unit test cases. You can just state input and explain which DU pairs are covered.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(1, 1)</w:t>
        <w:tab/>
        <w:tab/>
        <w:tab/>
        <w:tab/>
        <w:t xml:space="preserve">Variable x, covers pairs: (1,4)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