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5E56" w14:textId="77777777" w:rsidR="00642E7D" w:rsidRDefault="00515FB3">
      <w:pPr>
        <w:spacing w:after="0" w:line="259" w:lineRule="auto"/>
        <w:ind w:left="0" w:firstLine="0"/>
      </w:pPr>
      <w:r>
        <w:rPr>
          <w:b/>
          <w:sz w:val="44"/>
        </w:rPr>
        <w:t xml:space="preserve"> </w:t>
      </w:r>
    </w:p>
    <w:p w14:paraId="43DAD213" w14:textId="77777777" w:rsidR="00642E7D" w:rsidRDefault="00515FB3">
      <w:pPr>
        <w:spacing w:after="0" w:line="259" w:lineRule="auto"/>
        <w:ind w:left="0" w:firstLine="0"/>
      </w:pPr>
      <w:r>
        <w:rPr>
          <w:b/>
          <w:sz w:val="44"/>
        </w:rPr>
        <w:t xml:space="preserve"> </w:t>
      </w:r>
    </w:p>
    <w:p w14:paraId="3CB9F729" w14:textId="77777777" w:rsidR="00642E7D" w:rsidRDefault="00515FB3">
      <w:pPr>
        <w:spacing w:after="0" w:line="259" w:lineRule="auto"/>
        <w:ind w:left="0" w:firstLine="0"/>
      </w:pPr>
      <w:r>
        <w:rPr>
          <w:b/>
          <w:sz w:val="44"/>
        </w:rPr>
        <w:t xml:space="preserve"> </w:t>
      </w:r>
    </w:p>
    <w:p w14:paraId="454BB05E" w14:textId="77777777" w:rsidR="00642E7D" w:rsidRDefault="00515FB3">
      <w:pPr>
        <w:spacing w:after="0" w:line="259" w:lineRule="auto"/>
        <w:ind w:left="0" w:firstLine="0"/>
      </w:pPr>
      <w:r>
        <w:rPr>
          <w:b/>
          <w:sz w:val="44"/>
        </w:rPr>
        <w:t xml:space="preserve"> </w:t>
      </w:r>
    </w:p>
    <w:p w14:paraId="03B9E323" w14:textId="77777777" w:rsidR="00642E7D" w:rsidRDefault="00515FB3">
      <w:pPr>
        <w:spacing w:after="0" w:line="259" w:lineRule="auto"/>
        <w:ind w:left="0" w:firstLine="0"/>
      </w:pPr>
      <w:r>
        <w:rPr>
          <w:b/>
          <w:sz w:val="44"/>
        </w:rPr>
        <w:t xml:space="preserve"> </w:t>
      </w:r>
    </w:p>
    <w:p w14:paraId="0D4B7927" w14:textId="77777777" w:rsidR="00642E7D" w:rsidRDefault="00515FB3">
      <w:pPr>
        <w:spacing w:after="0" w:line="259" w:lineRule="auto"/>
        <w:ind w:left="0" w:firstLine="0"/>
      </w:pPr>
      <w:r>
        <w:rPr>
          <w:b/>
          <w:sz w:val="44"/>
        </w:rPr>
        <w:t xml:space="preserve"> </w:t>
      </w:r>
    </w:p>
    <w:p w14:paraId="237392EE" w14:textId="77777777" w:rsidR="00642E7D" w:rsidRDefault="00515FB3">
      <w:pPr>
        <w:spacing w:after="0" w:line="259" w:lineRule="auto"/>
        <w:ind w:left="0" w:firstLine="0"/>
      </w:pPr>
      <w:r>
        <w:rPr>
          <w:b/>
          <w:sz w:val="44"/>
        </w:rPr>
        <w:t xml:space="preserve">Bricks in the Wall  </w:t>
      </w:r>
    </w:p>
    <w:p w14:paraId="23D86C0F" w14:textId="77777777" w:rsidR="00642E7D" w:rsidRDefault="00515FB3">
      <w:pPr>
        <w:spacing w:after="118" w:line="259" w:lineRule="auto"/>
        <w:ind w:left="0" w:firstLine="0"/>
      </w:pPr>
      <w:r>
        <w:rPr>
          <w:b/>
          <w:sz w:val="40"/>
        </w:rPr>
        <w:t xml:space="preserve">A Machine Learning Study of Student-Teacher Ratios </w:t>
      </w:r>
    </w:p>
    <w:p w14:paraId="2CAB184D" w14:textId="1483CA8E" w:rsidR="00642E7D" w:rsidRDefault="00642E7D">
      <w:pPr>
        <w:spacing w:after="303" w:line="259" w:lineRule="auto"/>
        <w:ind w:left="0" w:firstLine="0"/>
      </w:pPr>
    </w:p>
    <w:p w14:paraId="3ACFFE71" w14:textId="77777777" w:rsidR="00642E7D" w:rsidRDefault="00515FB3">
      <w:pPr>
        <w:spacing w:after="248" w:line="259" w:lineRule="auto"/>
        <w:ind w:left="0" w:firstLine="0"/>
      </w:pPr>
      <w:r>
        <w:rPr>
          <w:b/>
          <w:sz w:val="32"/>
        </w:rPr>
        <w:t xml:space="preserve"> </w:t>
      </w:r>
    </w:p>
    <w:p w14:paraId="5860FEEE" w14:textId="77777777" w:rsidR="00642E7D" w:rsidRDefault="00515FB3">
      <w:pPr>
        <w:spacing w:after="248" w:line="259" w:lineRule="auto"/>
        <w:ind w:left="0" w:firstLine="0"/>
      </w:pPr>
      <w:r>
        <w:rPr>
          <w:b/>
          <w:sz w:val="32"/>
        </w:rPr>
        <w:t xml:space="preserve"> </w:t>
      </w:r>
    </w:p>
    <w:p w14:paraId="1C20CE0D" w14:textId="77777777" w:rsidR="00642E7D" w:rsidRDefault="00515FB3">
      <w:pPr>
        <w:spacing w:after="243" w:line="259" w:lineRule="auto"/>
        <w:ind w:left="0" w:firstLine="0"/>
      </w:pPr>
      <w:r>
        <w:rPr>
          <w:b/>
          <w:sz w:val="32"/>
        </w:rPr>
        <w:t xml:space="preserve"> </w:t>
      </w:r>
    </w:p>
    <w:p w14:paraId="318D772E" w14:textId="77777777" w:rsidR="00642E7D" w:rsidRDefault="00515FB3">
      <w:pPr>
        <w:spacing w:after="248" w:line="259" w:lineRule="auto"/>
        <w:ind w:left="0" w:firstLine="0"/>
      </w:pPr>
      <w:r>
        <w:rPr>
          <w:b/>
          <w:sz w:val="32"/>
        </w:rPr>
        <w:t xml:space="preserve"> </w:t>
      </w:r>
    </w:p>
    <w:p w14:paraId="1B21EADE" w14:textId="77777777" w:rsidR="00642E7D" w:rsidRDefault="00515FB3">
      <w:pPr>
        <w:spacing w:after="248" w:line="259" w:lineRule="auto"/>
        <w:ind w:left="0" w:firstLine="0"/>
      </w:pPr>
      <w:r>
        <w:rPr>
          <w:b/>
          <w:sz w:val="32"/>
        </w:rPr>
        <w:t xml:space="preserve"> </w:t>
      </w:r>
    </w:p>
    <w:p w14:paraId="7F3C013D" w14:textId="77777777" w:rsidR="00642E7D" w:rsidRDefault="00515FB3">
      <w:pPr>
        <w:spacing w:after="248" w:line="259" w:lineRule="auto"/>
        <w:ind w:left="0" w:firstLine="0"/>
      </w:pPr>
      <w:r>
        <w:rPr>
          <w:b/>
          <w:sz w:val="32"/>
        </w:rPr>
        <w:t xml:space="preserve"> </w:t>
      </w:r>
    </w:p>
    <w:p w14:paraId="3C088303" w14:textId="77777777" w:rsidR="00642E7D" w:rsidRDefault="00515FB3">
      <w:pPr>
        <w:spacing w:after="243" w:line="259" w:lineRule="auto"/>
        <w:ind w:left="0" w:firstLine="0"/>
      </w:pPr>
      <w:r>
        <w:rPr>
          <w:b/>
          <w:sz w:val="32"/>
        </w:rPr>
        <w:t xml:space="preserve"> </w:t>
      </w:r>
    </w:p>
    <w:p w14:paraId="2D96DBB0" w14:textId="77777777" w:rsidR="00642E7D" w:rsidRDefault="00515FB3">
      <w:pPr>
        <w:spacing w:after="248" w:line="259" w:lineRule="auto"/>
        <w:ind w:left="0" w:firstLine="0"/>
      </w:pPr>
      <w:r>
        <w:rPr>
          <w:b/>
          <w:sz w:val="32"/>
        </w:rPr>
        <w:t xml:space="preserve"> </w:t>
      </w:r>
    </w:p>
    <w:p w14:paraId="0F76C15D" w14:textId="77777777" w:rsidR="00642E7D" w:rsidRDefault="00515FB3">
      <w:pPr>
        <w:spacing w:after="248" w:line="259" w:lineRule="auto"/>
        <w:ind w:left="0" w:firstLine="0"/>
      </w:pPr>
      <w:r>
        <w:rPr>
          <w:b/>
          <w:sz w:val="32"/>
        </w:rPr>
        <w:t xml:space="preserve"> </w:t>
      </w:r>
    </w:p>
    <w:p w14:paraId="59E4B8C4" w14:textId="77777777" w:rsidR="00642E7D" w:rsidRDefault="00515FB3">
      <w:pPr>
        <w:spacing w:after="243" w:line="259" w:lineRule="auto"/>
        <w:ind w:left="0" w:firstLine="0"/>
      </w:pPr>
      <w:r>
        <w:rPr>
          <w:b/>
          <w:sz w:val="32"/>
        </w:rPr>
        <w:t xml:space="preserve"> </w:t>
      </w:r>
    </w:p>
    <w:p w14:paraId="369128F2" w14:textId="77777777" w:rsidR="00642E7D" w:rsidRDefault="00515FB3">
      <w:pPr>
        <w:spacing w:after="0" w:line="259" w:lineRule="auto"/>
        <w:ind w:left="0" w:firstLine="0"/>
      </w:pPr>
      <w:r>
        <w:rPr>
          <w:b/>
          <w:sz w:val="32"/>
        </w:rPr>
        <w:t xml:space="preserve"> </w:t>
      </w:r>
    </w:p>
    <w:p w14:paraId="79DC9B69" w14:textId="77777777" w:rsidR="00642E7D" w:rsidRDefault="00515FB3">
      <w:pPr>
        <w:pStyle w:val="Heading1"/>
        <w:ind w:left="-5"/>
      </w:pPr>
      <w:r>
        <w:t xml:space="preserve">Introduction </w:t>
      </w:r>
    </w:p>
    <w:p w14:paraId="1F4300A2" w14:textId="77777777" w:rsidR="00642E7D" w:rsidRDefault="00515FB3">
      <w:pPr>
        <w:spacing w:after="0" w:line="259" w:lineRule="auto"/>
        <w:ind w:left="0" w:firstLine="0"/>
      </w:pPr>
      <w:r>
        <w:rPr>
          <w:b/>
          <w:sz w:val="32"/>
        </w:rPr>
        <w:t xml:space="preserve"> </w:t>
      </w:r>
    </w:p>
    <w:p w14:paraId="687C197F" w14:textId="77777777" w:rsidR="00642E7D" w:rsidRDefault="00515FB3">
      <w:pPr>
        <w:ind w:left="-5"/>
      </w:pPr>
      <w:r>
        <w:t>This project explores student-</w:t>
      </w:r>
      <w:r>
        <w:t xml:space="preserve">teacher ratios throughout the country’s public schools with the goal of understanding where staffing disparities are most severe and why they occur. The </w:t>
      </w:r>
      <w:proofErr w:type="spellStart"/>
      <w:r>
        <w:t>studentteacher</w:t>
      </w:r>
      <w:proofErr w:type="spellEnd"/>
      <w:r>
        <w:t xml:space="preserve"> ratio is often used as a proxy for educational quality, and yet it rarely features as a predictive modeling target and therefore is novel. Our aim is to identify the structural, geographic, and economic conditions that influence this ratio, using publicly available data.  </w:t>
      </w:r>
    </w:p>
    <w:p w14:paraId="7BEB0462" w14:textId="77777777" w:rsidR="00642E7D" w:rsidRDefault="00515FB3">
      <w:pPr>
        <w:spacing w:after="0" w:line="259" w:lineRule="auto"/>
        <w:ind w:left="0" w:firstLine="0"/>
      </w:pPr>
      <w:r>
        <w:t xml:space="preserve"> </w:t>
      </w:r>
    </w:p>
    <w:p w14:paraId="02142F59" w14:textId="77777777" w:rsidR="00642E7D" w:rsidRDefault="00515FB3">
      <w:pPr>
        <w:ind w:left="-5"/>
      </w:pPr>
      <w:r>
        <w:lastRenderedPageBreak/>
        <w:t xml:space="preserve">An educated population supports the success of communities, economies, and future generations. In classrooms where ratios are high, students may receive less individualized attention, teachers face burnout, and an environment meant for learning can suffer. Though dropout and performance studies often explore risk factors like poverty, transportation, and language barriers, student-teacher ratios are less frequently considered. </w:t>
      </w:r>
    </w:p>
    <w:p w14:paraId="5B6913AA" w14:textId="77777777" w:rsidR="00642E7D" w:rsidRDefault="00515FB3">
      <w:pPr>
        <w:spacing w:after="0" w:line="259" w:lineRule="auto"/>
        <w:ind w:left="0" w:firstLine="0"/>
      </w:pPr>
      <w:r>
        <w:t xml:space="preserve"> </w:t>
      </w:r>
    </w:p>
    <w:p w14:paraId="692452A6" w14:textId="77777777" w:rsidR="00642E7D" w:rsidRDefault="00515FB3">
      <w:pPr>
        <w:ind w:left="-5"/>
      </w:pPr>
      <w:r>
        <w:t xml:space="preserve">We want to understand which areas experience the highest student-teacher ratios and how factors such as urban or rural locale, Title I eligibility, regional wage competitiveness, poverty levels, metropolitan area type, and even grade span might play a role. This is not necessarily about finding a silver bullet but rather learning from the data to uncover what contributes most to staffing challenges and identifying where attention may be needed. </w:t>
      </w:r>
    </w:p>
    <w:p w14:paraId="31839EBF" w14:textId="77777777" w:rsidR="00642E7D" w:rsidRDefault="00515FB3">
      <w:pPr>
        <w:spacing w:after="0" w:line="259" w:lineRule="auto"/>
        <w:ind w:left="0" w:firstLine="0"/>
      </w:pPr>
      <w:r>
        <w:t xml:space="preserve"> </w:t>
      </w:r>
    </w:p>
    <w:p w14:paraId="216DC334" w14:textId="77777777" w:rsidR="00642E7D" w:rsidRDefault="00515FB3">
      <w:pPr>
        <w:ind w:left="-5"/>
      </w:pPr>
      <w:r>
        <w:t>Stakeholders include, most importantly, students and parents, who are directly impacted by class sizes, not only because they shape daily learning and academic outcomes, but also because schools provide a safe, supervised environment for children while families work. Teachers are also key stakeholders, since staffing levels impact their workload, access to support, and ultimately long-term retention. School district leaders and policymakers rely on accurate staffing insights to inform decisions around hirin</w:t>
      </w:r>
      <w:r>
        <w:t xml:space="preserve">g, funding, and resource allocation. These insights should not only help guide educational strategies but also reveal factors contributing to staffing disparities, including patterns of educational access across different communities. </w:t>
      </w:r>
    </w:p>
    <w:p w14:paraId="0AE6761D" w14:textId="77777777" w:rsidR="00642E7D" w:rsidRDefault="00515FB3">
      <w:pPr>
        <w:spacing w:after="104" w:line="259" w:lineRule="auto"/>
        <w:ind w:left="0" w:firstLine="0"/>
      </w:pPr>
      <w:r>
        <w:t xml:space="preserve"> </w:t>
      </w:r>
    </w:p>
    <w:p w14:paraId="464DF04E" w14:textId="77777777" w:rsidR="00642E7D" w:rsidRDefault="00515FB3">
      <w:pPr>
        <w:spacing w:after="0" w:line="259" w:lineRule="auto"/>
        <w:ind w:left="0" w:firstLine="0"/>
      </w:pPr>
      <w:r>
        <w:rPr>
          <w:b/>
          <w:sz w:val="32"/>
        </w:rPr>
        <w:t xml:space="preserve">Dataset Source  </w:t>
      </w:r>
      <w:r>
        <w:rPr>
          <w:rFonts w:ascii="Arial" w:eastAsia="Arial" w:hAnsi="Arial" w:cs="Arial"/>
          <w:color w:val="457786"/>
          <w:u w:val="single" w:color="457786"/>
        </w:rPr>
        <w:t>https://data-nces.opendata.arcgis.com/</w:t>
      </w:r>
      <w:r>
        <w:rPr>
          <w:rFonts w:ascii="Arial" w:eastAsia="Arial" w:hAnsi="Arial" w:cs="Arial"/>
          <w:color w:val="457786"/>
          <w:u w:val="single" w:color="457786"/>
          <w:vertAlign w:val="subscript"/>
        </w:rPr>
        <w:t xml:space="preserve"> </w:t>
      </w:r>
      <w:r>
        <w:rPr>
          <w:b/>
          <w:sz w:val="32"/>
        </w:rPr>
        <w:t xml:space="preserve"> </w:t>
      </w:r>
    </w:p>
    <w:p w14:paraId="3708BBE6" w14:textId="77777777" w:rsidR="00642E7D" w:rsidRDefault="00515FB3">
      <w:pPr>
        <w:spacing w:after="55" w:line="259" w:lineRule="auto"/>
        <w:ind w:left="0" w:firstLine="0"/>
      </w:pPr>
      <w:r>
        <w:rPr>
          <w:rFonts w:ascii="Arial" w:eastAsia="Arial" w:hAnsi="Arial" w:cs="Arial"/>
          <w:sz w:val="17"/>
        </w:rPr>
        <w:t xml:space="preserve"> </w:t>
      </w:r>
    </w:p>
    <w:p w14:paraId="651D3F0B" w14:textId="77777777" w:rsidR="00642E7D" w:rsidRDefault="00515FB3">
      <w:pPr>
        <w:ind w:left="-5"/>
      </w:pPr>
      <w:r>
        <w:t xml:space="preserve">Our primary dataset comes from the National Center for Education Statistics, specifically from the EDGE program, and includes 101,391 public schools and currently 48 attributes.  We </w:t>
      </w:r>
      <w:proofErr w:type="spellStart"/>
      <w:r>
        <w:t>selectedfor</w:t>
      </w:r>
      <w:proofErr w:type="spellEnd"/>
      <w:r>
        <w:t xml:space="preserve"> the main student-teacher ratio regression analysis, as it offers the most complete and recent available data tables. Additionally, public data covering multiple academic years was also compiled to support extensions of the project. All merged data was sourced from four main tables: </w:t>
      </w:r>
      <w:r>
        <w:rPr>
          <w:i/>
        </w:rPr>
        <w:t>Public School Characteristics</w:t>
      </w:r>
      <w:r>
        <w:t xml:space="preserve">, which includes enrollment by grade level, full-time equivalent staff, grade demographics, school type, and Title I eligibility; </w:t>
      </w:r>
      <w:r>
        <w:rPr>
          <w:i/>
        </w:rPr>
        <w:t>Public School Location</w:t>
      </w:r>
      <w:r>
        <w:t>, which contains locale classificati</w:t>
      </w:r>
      <w:r>
        <w:t xml:space="preserve">ons, and core-based statistical area types; </w:t>
      </w:r>
      <w:r>
        <w:rPr>
          <w:i/>
        </w:rPr>
        <w:t>School Neighborhood Poverty Estimates</w:t>
      </w:r>
      <w:r>
        <w:t xml:space="preserve">, which provide income-to-poverty ratios at the school level; and the </w:t>
      </w:r>
      <w:r>
        <w:rPr>
          <w:i/>
        </w:rPr>
        <w:t>EDGE ACS CWIFT</w:t>
      </w:r>
      <w:r>
        <w:t xml:space="preserve"> file, which includes regional teacher wage competitiveness scores.  </w:t>
      </w:r>
    </w:p>
    <w:p w14:paraId="2E0876B1" w14:textId="77777777" w:rsidR="00642E7D" w:rsidRDefault="00515FB3">
      <w:pPr>
        <w:spacing w:after="0" w:line="259" w:lineRule="auto"/>
        <w:ind w:left="0" w:firstLine="0"/>
      </w:pPr>
      <w:r>
        <w:t xml:space="preserve"> </w:t>
      </w:r>
    </w:p>
    <w:p w14:paraId="15BE3B25" w14:textId="77777777" w:rsidR="00642E7D" w:rsidRDefault="00515FB3">
      <w:pPr>
        <w:ind w:left="-5"/>
      </w:pPr>
      <w:r>
        <w:t xml:space="preserve">These datasets were joined using the school level identifier (NCESSCH) and the district identifier (LEAID) to create a complete view of each school and its surrounding context.  All of our data is publicly available and sourced from NCES, which hopefully ensures reliability through standardized federal reporting and documentation. The datasets come with metadata and clear </w:t>
      </w:r>
      <w:r>
        <w:lastRenderedPageBreak/>
        <w:t>definitions for each field, and we’ve verified their consistency through the o</w:t>
      </w:r>
      <w:r>
        <w:t>ff</w:t>
      </w:r>
      <w:r>
        <w:t xml:space="preserve">icial NCES EDGE data portal. </w:t>
      </w:r>
    </w:p>
    <w:p w14:paraId="3DEFC1EC" w14:textId="77777777" w:rsidR="00642E7D" w:rsidRDefault="00515FB3">
      <w:pPr>
        <w:spacing w:after="48" w:line="259" w:lineRule="auto"/>
        <w:ind w:left="0" w:firstLine="0"/>
      </w:pPr>
      <w:r>
        <w:t xml:space="preserve"> </w:t>
      </w:r>
    </w:p>
    <w:p w14:paraId="31EF5F84" w14:textId="77777777" w:rsidR="00642E7D" w:rsidRDefault="00515FB3">
      <w:pPr>
        <w:pStyle w:val="Heading1"/>
        <w:ind w:left="-5"/>
      </w:pPr>
      <w:r>
        <w:t xml:space="preserve">Methods </w:t>
      </w:r>
    </w:p>
    <w:p w14:paraId="47300A31" w14:textId="77777777" w:rsidR="00642E7D" w:rsidRDefault="00515FB3">
      <w:pPr>
        <w:spacing w:after="0" w:line="259" w:lineRule="auto"/>
        <w:ind w:left="0" w:firstLine="0"/>
      </w:pPr>
      <w:r>
        <w:t xml:space="preserve"> </w:t>
      </w:r>
    </w:p>
    <w:p w14:paraId="1903DF55" w14:textId="77777777" w:rsidR="00642E7D" w:rsidRDefault="00515FB3">
      <w:pPr>
        <w:ind w:left="-5"/>
      </w:pPr>
      <w:r>
        <w:t xml:space="preserve">Our approach will involve supervised regression models to predict student-teacher ratios based on urban or rural locale, Title I eligibility, regional wage competitiveness, poverty levels, metropolitan area type, and grade span. We’ll likely begin with linear regression as a baseline, then explore </w:t>
      </w:r>
      <w:proofErr w:type="spellStart"/>
      <w:r>
        <w:t>treebased</w:t>
      </w:r>
      <w:proofErr w:type="spellEnd"/>
      <w:r>
        <w:t xml:space="preserve"> models to capture non-linear relationships and gain insight into feature importance.  </w:t>
      </w:r>
    </w:p>
    <w:p w14:paraId="449B7813" w14:textId="77777777" w:rsidR="00642E7D" w:rsidRDefault="00515FB3">
      <w:pPr>
        <w:spacing w:after="0" w:line="259" w:lineRule="auto"/>
        <w:ind w:left="0" w:firstLine="0"/>
      </w:pPr>
      <w:r>
        <w:t xml:space="preserve"> </w:t>
      </w:r>
    </w:p>
    <w:p w14:paraId="1B5A5396" w14:textId="77777777" w:rsidR="00642E7D" w:rsidRDefault="00515FB3">
      <w:pPr>
        <w:ind w:left="-5"/>
      </w:pPr>
      <w:r>
        <w:t>In addition to the core analysis, each team member will pursue a related sub-analysis.  One project will apply unsupervised learning techniques, such as clustering to explore patterns or grouping among schools, to reveal structural or geographic trends tied to sta</w:t>
      </w:r>
      <w:r>
        <w:t>ff</w:t>
      </w:r>
      <w:r>
        <w:t xml:space="preserve">ing challenges. The other project extension will use a multi-year dataset to address missing student-teacher ratio values, applying Random Forest and </w:t>
      </w:r>
      <w:proofErr w:type="spellStart"/>
      <w:r>
        <w:t>XGBoost</w:t>
      </w:r>
      <w:proofErr w:type="spellEnd"/>
      <w:r>
        <w:t xml:space="preserve"> regressors to estimate the gaps in data and compare performance. These extensions will increase overall insights that are built on the central analysis while exploring the data from di</w:t>
      </w:r>
      <w:r>
        <w:t>ff</w:t>
      </w:r>
      <w:r>
        <w:t xml:space="preserve">erent perspectives.   </w:t>
      </w:r>
    </w:p>
    <w:p w14:paraId="73455D6F" w14:textId="77777777" w:rsidR="00642E7D" w:rsidRDefault="00515FB3">
      <w:pPr>
        <w:spacing w:after="0" w:line="259" w:lineRule="auto"/>
        <w:ind w:left="0" w:firstLine="0"/>
      </w:pPr>
      <w:r>
        <w:t xml:space="preserve"> </w:t>
      </w:r>
    </w:p>
    <w:p w14:paraId="471E5127" w14:textId="77777777" w:rsidR="00642E7D" w:rsidRDefault="00515FB3">
      <w:pPr>
        <w:ind w:left="-5"/>
      </w:pPr>
      <w:r>
        <w:t>To evaluate model performance, standard regression metrics will be used, such as R</w:t>
      </w:r>
      <w:r>
        <w:rPr>
          <w:sz w:val="21"/>
          <w:vertAlign w:val="superscript"/>
        </w:rPr>
        <w:t>2</w:t>
      </w:r>
      <w:r>
        <w:t xml:space="preserve"> , RMSE, and </w:t>
      </w:r>
    </w:p>
    <w:p w14:paraId="711C194F" w14:textId="77777777" w:rsidR="00642E7D" w:rsidRDefault="00515FB3">
      <w:pPr>
        <w:ind w:left="-5"/>
      </w:pPr>
      <w:r>
        <w:t>MAE, as well as model residuals to identify schools that may deviate from predicted sta</w:t>
      </w:r>
      <w:r>
        <w:t>ff</w:t>
      </w:r>
      <w:r>
        <w:t xml:space="preserve">ing norms.  This level of interpretation will help allow for an understanding of not just how accurate our models are but where and why certain schools stand out, information that is invaluable to stakeholders interested in educational equity and targeted resource planning. </w:t>
      </w:r>
    </w:p>
    <w:p w14:paraId="5E03EB3A" w14:textId="77777777" w:rsidR="00642E7D" w:rsidRDefault="00515FB3">
      <w:pPr>
        <w:spacing w:after="0" w:line="259" w:lineRule="auto"/>
        <w:ind w:left="0" w:firstLine="0"/>
      </w:pPr>
      <w:r>
        <w:t xml:space="preserve"> </w:t>
      </w:r>
    </w:p>
    <w:p w14:paraId="5763EFE7" w14:textId="77777777" w:rsidR="00642E7D" w:rsidRDefault="00515FB3">
      <w:pPr>
        <w:ind w:left="-5"/>
      </w:pPr>
      <w:r>
        <w:t xml:space="preserve">Extensive preprocessing is required and will include removing or imputing missing values in key fields, generating new features such as grade span, and free lunch rates, as well as encoding categorical variables.  For the multi-year portion of the project, additional cleaning will be needed to align formatting and feature definitions across multiple years. </w:t>
      </w:r>
    </w:p>
    <w:p w14:paraId="2FF756F9" w14:textId="77777777" w:rsidR="00642E7D" w:rsidRDefault="00515FB3">
      <w:pPr>
        <w:spacing w:after="48" w:line="259" w:lineRule="auto"/>
        <w:ind w:left="0" w:firstLine="0"/>
      </w:pPr>
      <w:r>
        <w:t xml:space="preserve"> </w:t>
      </w:r>
    </w:p>
    <w:p w14:paraId="3ED05112" w14:textId="77777777" w:rsidR="00642E7D" w:rsidRDefault="00515FB3">
      <w:pPr>
        <w:pStyle w:val="Heading1"/>
        <w:ind w:left="-5"/>
      </w:pPr>
      <w:r>
        <w:t xml:space="preserve">Risks </w:t>
      </w:r>
    </w:p>
    <w:p w14:paraId="58C2E55F" w14:textId="77777777" w:rsidR="00642E7D" w:rsidRDefault="00515FB3">
      <w:pPr>
        <w:spacing w:after="0" w:line="259" w:lineRule="auto"/>
        <w:ind w:left="0" w:firstLine="0"/>
      </w:pPr>
      <w:r>
        <w:rPr>
          <w:b/>
          <w:sz w:val="32"/>
        </w:rPr>
        <w:t xml:space="preserve"> </w:t>
      </w:r>
    </w:p>
    <w:p w14:paraId="47E65271" w14:textId="77777777" w:rsidR="00642E7D" w:rsidRDefault="00515FB3">
      <w:pPr>
        <w:ind w:left="-5"/>
      </w:pPr>
      <w:r>
        <w:t>For the project, the primary risk is data completeness and consistency.  Some schools are missing values for key variables like full-time equivalent sta</w:t>
      </w:r>
      <w:r>
        <w:t>ff</w:t>
      </w:r>
      <w:r>
        <w:t xml:space="preserve"> or total enrollment, which are used to calculate the student-teacher ratios, resulting in missing student-teacher ratios also.  Additionally, we’ve discussed filtering out certain school types, such as virtual and adult education, where sta</w:t>
      </w:r>
      <w:r>
        <w:t>ff</w:t>
      </w:r>
      <w:r>
        <w:t xml:space="preserve">ing structure isn’t comparable to the standard K-12 educational environment. To address these issues, we will continue to filter, impute, or engineer features as needed to curate a usable, relevant dataset. </w:t>
      </w:r>
    </w:p>
    <w:p w14:paraId="69F5863A" w14:textId="77777777" w:rsidR="00642E7D" w:rsidRDefault="00515FB3">
      <w:pPr>
        <w:spacing w:after="0" w:line="259" w:lineRule="auto"/>
        <w:ind w:left="0" w:firstLine="0"/>
      </w:pPr>
      <w:r>
        <w:lastRenderedPageBreak/>
        <w:t xml:space="preserve"> </w:t>
      </w:r>
    </w:p>
    <w:p w14:paraId="0B2B3C5C" w14:textId="77777777" w:rsidR="00642E7D" w:rsidRDefault="00515FB3">
      <w:pPr>
        <w:ind w:left="-5"/>
      </w:pPr>
      <w:r>
        <w:t>Another challenge will be ensuring that our model generalizes well across the di</w:t>
      </w:r>
      <w:r>
        <w:t>ff</w:t>
      </w:r>
      <w:r>
        <w:t>erent school types and geographic regions. Ensure that specific types of schools don’t make up a disproportionate share of the data, modeling bias will need to be monitored, and if present, consider stratified evaluation or even subgroup analysis. Another possibility is that some features that we expect to be influential, such as CWIFT score or local poverty estimates, may not be as predictive as anticipated. If that is the case, exploration of simplifying the model or introducing a derived feature that c</w:t>
      </w:r>
      <w:r>
        <w:t>aptures the sta</w:t>
      </w:r>
      <w:r>
        <w:t>ff</w:t>
      </w:r>
      <w:r>
        <w:t>ing context more e</w:t>
      </w:r>
      <w:r>
        <w:t>ff</w:t>
      </w:r>
      <w:r>
        <w:t xml:space="preserve">ectively. </w:t>
      </w:r>
    </w:p>
    <w:p w14:paraId="14B74E5F" w14:textId="77777777" w:rsidR="00642E7D" w:rsidRDefault="00515FB3">
      <w:pPr>
        <w:spacing w:after="0" w:line="259" w:lineRule="auto"/>
        <w:ind w:left="0" w:firstLine="0"/>
      </w:pPr>
      <w:r>
        <w:t xml:space="preserve"> </w:t>
      </w:r>
    </w:p>
    <w:p w14:paraId="574647C9" w14:textId="77777777" w:rsidR="00642E7D" w:rsidRDefault="00515FB3">
      <w:pPr>
        <w:ind w:left="-5"/>
      </w:pPr>
      <w:r>
        <w:t xml:space="preserve">A more nuanced risk involves the treatment of outliers.  While some may reflect data entry errors or inconsistencies, others may represent true inequities that shouldn't be dismissed. For example, a cursory review of the data shows large urban schools that have transitioned to ‘virtual’ formats, serving thousands of students with very few teachers on record.  These cases raise serious questions about education access, oversight and student well-being. In 2023, the US Surgeon General declared loneliness and </w:t>
      </w:r>
      <w:r>
        <w:t xml:space="preserve">isolation to be at ‘epidemic’ levels, and the lack of connection in virtual school environments, particularly for adolescents, may have long-term consequences for mental health.  These kinds of outliers deserve careful attention rather than automatic exclusion. </w:t>
      </w:r>
    </w:p>
    <w:p w14:paraId="3E3CC97B" w14:textId="77777777" w:rsidR="00642E7D" w:rsidRDefault="00515FB3">
      <w:pPr>
        <w:spacing w:after="0" w:line="259" w:lineRule="auto"/>
        <w:ind w:left="0" w:firstLine="0"/>
      </w:pPr>
      <w:r>
        <w:t xml:space="preserve"> </w:t>
      </w:r>
    </w:p>
    <w:p w14:paraId="3D0A36E5" w14:textId="77777777" w:rsidR="00642E7D" w:rsidRDefault="00515FB3">
      <w:pPr>
        <w:ind w:left="-5"/>
      </w:pPr>
      <w:r>
        <w:t xml:space="preserve">Additionally, the individual sub-analysis projects will also present their own challenges.  The multiyear sub-project includes a full year of missing student-teacher ratio values, and there is some risk in accurately predicting that data, given the changes in educational policy and reporting from year to year.  The other subproject will apply methods that are more inherently exploratory, and there is a chance that meaningful groupings may not emerge or that the patterns identified could simply reflect only </w:t>
      </w:r>
      <w:r>
        <w:t>known categories like locale or school size without o</w:t>
      </w:r>
      <w:r>
        <w:t>ff</w:t>
      </w:r>
      <w:r>
        <w:t xml:space="preserve">ering new insight.  </w:t>
      </w:r>
    </w:p>
    <w:p w14:paraId="4BE8C668" w14:textId="77777777" w:rsidR="00642E7D" w:rsidRDefault="00515FB3">
      <w:pPr>
        <w:spacing w:after="0" w:line="259" w:lineRule="auto"/>
        <w:ind w:left="0" w:firstLine="0"/>
      </w:pPr>
      <w:r>
        <w:t xml:space="preserve"> </w:t>
      </w:r>
    </w:p>
    <w:p w14:paraId="3C106E1B" w14:textId="77777777" w:rsidR="00642E7D" w:rsidRDefault="00515FB3">
      <w:pPr>
        <w:ind w:left="-5"/>
      </w:pPr>
      <w:r>
        <w:t>Overall, we are approaching this project with flexibility and are prepared to shift emphasis if certain features or methods don’t perform as expected.  We are confident that, even in those cases, we will still be able to surface relevant patterns that contribute to a better understanding of sta</w:t>
      </w:r>
      <w:r>
        <w:t>ff</w:t>
      </w:r>
      <w:r>
        <w:t xml:space="preserve">ing trends in public education. </w:t>
      </w:r>
    </w:p>
    <w:sectPr w:rsidR="00642E7D">
      <w:pgSz w:w="12240" w:h="15840"/>
      <w:pgMar w:top="1436" w:right="1441"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7D"/>
    <w:rsid w:val="00515FB3"/>
    <w:rsid w:val="00642E7D"/>
    <w:rsid w:val="00827966"/>
    <w:rsid w:val="00DA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CBAF"/>
  <w15:docId w15:val="{149C18D9-3251-4600-953F-F6A5CF10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1D1DF612E7442B562AABF0246671D" ma:contentTypeVersion="10" ma:contentTypeDescription="Create a new document." ma:contentTypeScope="" ma:versionID="5d12531532aed21bed9a8084d62b7ad1">
  <xsd:schema xmlns:xsd="http://www.w3.org/2001/XMLSchema" xmlns:xs="http://www.w3.org/2001/XMLSchema" xmlns:p="http://schemas.microsoft.com/office/2006/metadata/properties" xmlns:ns2="e72a0238-9e96-4583-a663-c457177d6ed7" xmlns:ns3="46b43f6d-0f3d-4385-8627-eb84a2a6a7ce" targetNamespace="http://schemas.microsoft.com/office/2006/metadata/properties" ma:root="true" ma:fieldsID="b4a33fd2611074c846aef81fd545edc5" ns2:_="" ns3:_="">
    <xsd:import namespace="e72a0238-9e96-4583-a663-c457177d6ed7"/>
    <xsd:import namespace="46b43f6d-0f3d-4385-8627-eb84a2a6a7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a0238-9e96-4583-a663-c457177d6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4dd798-54fc-4a98-a97f-5b734a12fa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b43f6d-0f3d-4385-8627-eb84a2a6a7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d7830-1841-49ec-9e7f-7ee2bf7ed91a}" ma:internalName="TaxCatchAll" ma:showField="CatchAllData" ma:web="46b43f6d-0f3d-4385-8627-eb84a2a6a7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2a0238-9e96-4583-a663-c457177d6ed7">
      <Terms xmlns="http://schemas.microsoft.com/office/infopath/2007/PartnerControls"/>
    </lcf76f155ced4ddcb4097134ff3c332f>
    <TaxCatchAll xmlns="46b43f6d-0f3d-4385-8627-eb84a2a6a7ce" xsi:nil="true"/>
  </documentManagement>
</p:properties>
</file>

<file path=customXml/itemProps1.xml><?xml version="1.0" encoding="utf-8"?>
<ds:datastoreItem xmlns:ds="http://schemas.openxmlformats.org/officeDocument/2006/customXml" ds:itemID="{33001E72-0D1F-41BE-AE9F-0E8AA2EA88C5}"/>
</file>

<file path=customXml/itemProps2.xml><?xml version="1.0" encoding="utf-8"?>
<ds:datastoreItem xmlns:ds="http://schemas.openxmlformats.org/officeDocument/2006/customXml" ds:itemID="{CCBAE43C-2DFB-4475-9006-7B18F39F027A}"/>
</file>

<file path=customXml/itemProps3.xml><?xml version="1.0" encoding="utf-8"?>
<ds:datastoreItem xmlns:ds="http://schemas.openxmlformats.org/officeDocument/2006/customXml" ds:itemID="{92A20C6D-A23D-45E4-B743-CD3772AE1245}"/>
</file>

<file path=docProps/app.xml><?xml version="1.0" encoding="utf-8"?>
<Properties xmlns="http://schemas.openxmlformats.org/officeDocument/2006/extended-properties" xmlns:vt="http://schemas.openxmlformats.org/officeDocument/2006/docPropsVTypes">
  <Template>Normal.dotm</Template>
  <TotalTime>1</TotalTime>
  <Pages>4</Pages>
  <Words>1274</Words>
  <Characters>7262</Characters>
  <Application>Microsoft Office Word</Application>
  <DocSecurity>0</DocSecurity>
  <Lines>60</Lines>
  <Paragraphs>17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Block</dc:creator>
  <cp:keywords/>
  <cp:lastModifiedBy>Gregory Block</cp:lastModifiedBy>
  <cp:revision>2</cp:revision>
  <dcterms:created xsi:type="dcterms:W3CDTF">2026-05-12T20:10:00Z</dcterms:created>
  <dcterms:modified xsi:type="dcterms:W3CDTF">2026-05-12T20:10:00Z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0x0101000071D1DF612E7442B562AABF0246671D</vt:lpwstr>
  </property>
</Properties>
</file>