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aps/>
          <w:color w:val="1F8A82"/>
          <w:sz w:val="15"/>
          <w:szCs w:val="15"/>
        </w:rPr>
        <w:t xml:space="preserve">OpMo Advisory  |  Internal Working Document</w:t>
      </w:r>
    </w:p>
    <w:p>
      <w:pPr>
        <w:spacing w:after="40"/>
      </w:pPr>
      <w:r>
        <w:rPr>
          <w:rFonts w:ascii="Calibri" w:cs="Calibri" w:eastAsia="Calibri" w:hAnsi="Calibri"/>
          <w:b/>
          <w:bCs/>
          <w:color w:val="1B2A3A"/>
          <w:sz w:val="40"/>
          <w:szCs w:val="40"/>
        </w:rPr>
        <w:t xml:space="preserve">OPERATING MODEL ALIGNMENT</w:t>
      </w:r>
    </w:p>
    <w:p>
      <w:pPr>
        <w:spacing w:after="100"/>
      </w:pPr>
      <w:r>
        <w:rPr>
          <w:rFonts w:ascii="Calibri" w:cs="Calibri" w:eastAsia="Calibri" w:hAnsi="Calibri"/>
          <w:color w:val="5B6B79"/>
          <w:sz w:val="26"/>
          <w:szCs w:val="26"/>
        </w:rPr>
        <w:t xml:space="preserve">Revised Practice and Offerings</w:t>
      </w:r>
    </w:p>
    <w:p>
      <w:pPr>
        <w:pBdr>
          <w:bottom w:val="single" w:color="1F8A82" w:sz="24" w:space="6"/>
        </w:pBdr>
        <w:spacing w:after="200"/>
      </w:pPr>
      <w:r>
        <w:rPr>
          <w:rFonts w:ascii="Calibri" w:cs="Calibri" w:eastAsia="Calibri" w:hAnsi="Calibri"/>
          <w:color w:val="5B6B79"/>
          <w:sz w:val="19"/>
          <w:szCs w:val="19"/>
        </w:rPr>
        <w:t xml:space="preserve">Working Draft v0.3   |   26 July 2026   |   Greg Kliewer, Principal</w:t>
      </w:r>
    </w:p>
    <w:p>
      <w:pPr>
        <w:pBdr>
          <w:left w:val="single" w:color="A6791A" w:sz="18" w:space="8"/>
        </w:pBdr>
        <w:shd w:fill="FBF6E9" w:color="auto" w:val="clear"/>
        <w:spacing w:after="140" w:before="100" w:line="264"/>
        <w:ind w:left="120" w:right="120"/>
      </w:pPr>
      <w:r>
        <w:rPr>
          <w:rFonts w:ascii="Calibri" w:cs="Calibri" w:eastAsia="Calibri" w:hAnsi="Calibri"/>
          <w:b/>
          <w:bCs/>
          <w:color w:val="2B2E31"/>
          <w:sz w:val="19"/>
          <w:szCs w:val="19"/>
        </w:rPr>
        <w:t xml:space="preserve">STATUS: WORKING DRAFT. </w:t>
      </w:r>
      <w:r>
        <w:rPr>
          <w:rFonts w:ascii="Calibri" w:cs="Calibri" w:eastAsia="Calibri" w:hAnsi="Calibri"/>
          <w:color w:val="2B2E31"/>
          <w:sz w:val="19"/>
          <w:szCs w:val="19"/>
        </w:rPr>
        <w:t xml:space="preserve">This document supersedes nothing yet. The published handouts (OpMo_AITransformation_Practice_Handout.pdf, OpMo_OperatingModelTransformation_Handout.pdf), the four delivery playbooks, the engagement ladder one pager, and the internal fee schedule all remain authoritative until this draft is accepted. Nothing here has been rendered into client facing material by design. The point is to get the offerings right in raw form first.</w:t>
      </w:r>
    </w:p>
    <w:p>
      <w:pPr>
        <w:pBdr>
          <w:left w:val="single" w:color="1F8A82" w:sz="18" w:space="8"/>
        </w:pBdr>
        <w:shd w:fill="F0F4F5" w:color="auto" w:val="clear"/>
        <w:spacing w:after="140" w:before="100" w:line="264"/>
        <w:ind w:left="120" w:right="120"/>
      </w:pPr>
      <w:r>
        <w:rPr>
          <w:rFonts w:ascii="Calibri" w:cs="Calibri" w:eastAsia="Calibri" w:hAnsi="Calibri"/>
          <w:b/>
          <w:bCs/>
          <w:color w:val="2B2E31"/>
          <w:sz w:val="19"/>
          <w:szCs w:val="19"/>
        </w:rPr>
        <w:t xml:space="preserve">Purpose. </w:t>
      </w:r>
      <w:r>
        <w:rPr>
          <w:rFonts w:ascii="Calibri" w:cs="Calibri" w:eastAsia="Calibri" w:hAnsi="Calibri"/>
          <w:color w:val="2B2E31"/>
          <w:sz w:val="19"/>
          <w:szCs w:val="19"/>
        </w:rPr>
        <w:t xml:space="preserve">Rework the practice and its four offerings against Deena Priest's positioning and pricing criteria, reset the framing so it applies in any transformational context rather than leading with AI, and change how the diagnostic and the retainer are priced. Fee figures are left as named placeholders throughout: every number in this practice traces to an external source before it is asserted, and the fee decisions are yours to set.</w:t>
      </w:r>
    </w:p>
    <w:p>
      <w:pPr>
        <w:pBdr>
          <w:left w:val="single" w:color="A6791A" w:sz="18" w:space="8"/>
        </w:pBdr>
        <w:shd w:fill="FBF6E9" w:color="auto" w:val="clear"/>
        <w:spacing w:after="140" w:before="100" w:line="264"/>
        <w:ind w:left="120" w:right="120"/>
      </w:pPr>
      <w:r>
        <w:rPr>
          <w:rFonts w:ascii="Calibri" w:cs="Calibri" w:eastAsia="Calibri" w:hAnsi="Calibri"/>
          <w:b/>
          <w:bCs/>
          <w:color w:val="2B2E31"/>
          <w:sz w:val="19"/>
          <w:szCs w:val="19"/>
        </w:rPr>
        <w:t xml:space="preserve">CHANGE LOG, v0.3. </w:t>
      </w:r>
      <w:r>
        <w:rPr>
          <w:rFonts w:ascii="Calibri" w:cs="Calibri" w:eastAsia="Calibri" w:hAnsi="Calibri"/>
          <w:color w:val="2B2E31"/>
          <w:sz w:val="19"/>
          <w:szCs w:val="19"/>
        </w:rPr>
        <w:t xml:space="preserve">Five decisions now closed. v0.2 resolved the positioning sentence (2.2, Option A with the sector qualifier removed, your two edits incorporated). v0.3 adds: the P series codes are retained, so the A series renaming proposed in v0.1 is reverted throughout and only P2 changes its display name; Operating Model Alignment is confirmed as the practice name; the AI-Native materials are kept as a trigger specific variant, with the operating rule for that now in 2.6; and the referral one pager is drafted as a companion document in this folder. Drafts v0.1 and v0.2 are preserved unchanged.</w:t>
      </w:r>
    </w:p>
    <w:p>
      <w:pPr>
        <w:pStyle w:val="Heading1"/>
        <w:pBdr>
          <w:bottom w:val="single" w:color="C9D2D8" w:sz="8" w:space="4"/>
        </w:pBdr>
        <w:spacing w:after="140" w:before="320"/>
      </w:pPr>
      <w:r>
        <w:rPr>
          <w:rFonts w:ascii="Calibri" w:cs="Calibri" w:eastAsia="Calibri" w:hAnsi="Calibri"/>
          <w:b/>
          <w:bCs/>
          <w:color w:val="1B2A3A"/>
          <w:sz w:val="26"/>
          <w:szCs w:val="26"/>
        </w:rPr>
        <w:t xml:space="preserve">1. What changed, and why</w:t>
      </w:r>
    </w:p>
    <w:p>
      <w:pPr>
        <w:spacing w:after="120" w:before="0" w:line="264"/>
      </w:pPr>
      <w:r>
        <w:rPr>
          <w:rFonts w:ascii="Calibri" w:cs="Calibri" w:eastAsia="Calibri" w:hAnsi="Calibri"/>
          <w:color w:val="2B2E31"/>
          <w:sz w:val="20"/>
          <w:szCs w:val="20"/>
        </w:rPr>
        <w:t xml:space="preserve">Six changes. Each one traces to a specific critique, not to a preference.</w:t>
      </w:r>
    </w:p>
    <w:tbl>
      <w:tblPr>
        <w:tblW w:type="dxa" w:w="9360"/>
        <w:tblBorders>
          <w:top w:val="single" w:color="C9D2D8" w:sz="4"/>
          <w:left w:val="single" w:color="C9D2D8" w:sz="4"/>
          <w:bottom w:val="single" w:color="C9D2D8" w:sz="4"/>
          <w:right w:val="single" w:color="C9D2D8" w:sz="4"/>
          <w:insideH w:val="single" w:color="C9D2D8" w:sz="4"/>
          <w:insideV w:val="single" w:color="C9D2D8" w:sz="4"/>
        </w:tblBorders>
      </w:tblPr>
      <w:tblGrid>
        <w:gridCol w:w="1500"/>
        <w:gridCol w:w="2500"/>
        <w:gridCol w:w="2500"/>
        <w:gridCol w:w="2860"/>
      </w:tblGrid>
      <w:tr>
        <w:trPr>
          <w:tblHeader/>
        </w:trPr>
        <w:tc>
          <w:tcPr>
            <w:tcW w:type="dxa" w:w="1500"/>
            <w:shd w:fill="EDF2F2" w:color="auto" w:val="clear"/>
            <w:tcMar>
              <w:top w:type="dxa" w:w="70"/>
              <w:left w:type="dxa" w:w="110"/>
              <w:bottom w:type="dxa" w:w="70"/>
              <w:right w:type="dxa" w:w="110"/>
            </w:tcMar>
          </w:tcPr>
          <w:p>
            <w:pPr>
              <w:spacing w:after="0" w:line="250"/>
            </w:pPr>
            <w:r>
              <w:rPr>
                <w:rFonts w:ascii="Calibri" w:cs="Calibri" w:eastAsia="Calibri" w:hAnsi="Calibri"/>
                <w:b/>
                <w:bCs/>
                <w:color w:val="1B2A3A"/>
                <w:sz w:val="17"/>
                <w:szCs w:val="17"/>
              </w:rPr>
              <w:t xml:space="preserve">Dimension</w:t>
            </w:r>
          </w:p>
        </w:tc>
        <w:tc>
          <w:tcPr>
            <w:tcW w:type="dxa" w:w="2500"/>
            <w:shd w:fill="EDF2F2" w:color="auto" w:val="clear"/>
            <w:tcMar>
              <w:top w:type="dxa" w:w="70"/>
              <w:left w:type="dxa" w:w="110"/>
              <w:bottom w:type="dxa" w:w="70"/>
              <w:right w:type="dxa" w:w="110"/>
            </w:tcMar>
          </w:tcPr>
          <w:p>
            <w:pPr>
              <w:spacing w:after="0" w:line="250"/>
            </w:pPr>
            <w:r>
              <w:rPr>
                <w:rFonts w:ascii="Calibri" w:cs="Calibri" w:eastAsia="Calibri" w:hAnsi="Calibri"/>
                <w:b/>
                <w:bCs/>
                <w:color w:val="1B2A3A"/>
                <w:sz w:val="17"/>
                <w:szCs w:val="17"/>
              </w:rPr>
              <w:t xml:space="preserve">Current, as published</w:t>
            </w:r>
          </w:p>
        </w:tc>
        <w:tc>
          <w:tcPr>
            <w:tcW w:type="dxa" w:w="2500"/>
            <w:shd w:fill="EDF2F2" w:color="auto" w:val="clear"/>
            <w:tcMar>
              <w:top w:type="dxa" w:w="70"/>
              <w:left w:type="dxa" w:w="110"/>
              <w:bottom w:type="dxa" w:w="70"/>
              <w:right w:type="dxa" w:w="110"/>
            </w:tcMar>
          </w:tcPr>
          <w:p>
            <w:pPr>
              <w:spacing w:after="0" w:line="250"/>
            </w:pPr>
            <w:r>
              <w:rPr>
                <w:rFonts w:ascii="Calibri" w:cs="Calibri" w:eastAsia="Calibri" w:hAnsi="Calibri"/>
                <w:b/>
                <w:bCs/>
                <w:color w:val="1B2A3A"/>
                <w:sz w:val="17"/>
                <w:szCs w:val="17"/>
              </w:rPr>
              <w:t xml:space="preserve">Revised, this draft</w:t>
            </w:r>
          </w:p>
        </w:tc>
        <w:tc>
          <w:tcPr>
            <w:tcW w:type="dxa" w:w="2860"/>
            <w:shd w:fill="EDF2F2" w:color="auto" w:val="clear"/>
            <w:tcMar>
              <w:top w:type="dxa" w:w="70"/>
              <w:left w:type="dxa" w:w="110"/>
              <w:bottom w:type="dxa" w:w="70"/>
              <w:right w:type="dxa" w:w="110"/>
            </w:tcMar>
          </w:tcPr>
          <w:p>
            <w:pPr>
              <w:spacing w:after="0" w:line="250"/>
            </w:pPr>
            <w:r>
              <w:rPr>
                <w:rFonts w:ascii="Calibri" w:cs="Calibri" w:eastAsia="Calibri" w:hAnsi="Calibri"/>
                <w:b/>
                <w:bCs/>
                <w:color w:val="1B2A3A"/>
                <w:sz w:val="17"/>
                <w:szCs w:val="17"/>
              </w:rPr>
              <w:t xml:space="preserve">Why</w:t>
            </w:r>
          </w:p>
        </w:tc>
      </w:tr>
      <w:tr>
        <w:tc>
          <w:tcPr>
            <w:tcW w:type="dxa" w:w="15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Practice name</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Operating Model Transformation, running as two parallel variants: an AI-Native version and a generic version.</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Operating Model Alignment. One practice, one name, trigger agnostic.</w:t>
            </w:r>
          </w:p>
        </w:tc>
        <w:tc>
          <w:tcPr>
            <w:tcW w:type="dxa" w:w="28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Two decks answer "who are you for" with "it depends." One lane is the whole point.</w:t>
            </w:r>
          </w:p>
        </w:tc>
      </w:tr>
      <w:tr>
        <w:tc>
          <w:tcPr>
            <w:tcW w:type="dxa" w:w="15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Primary framing</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AI adoption is the headline; the generic version exists as a fallback for non-AI deals.</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The transformational context is named per deal. AI is one trigger among several, never the headline.</w:t>
            </w:r>
          </w:p>
        </w:tc>
        <w:tc>
          <w:tcPr>
            <w:tcW w:type="dxa" w:w="28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Your own three waves proof already argues the org failure mode is constant and the trigger is not. Leading with AI bets the practice on one wave.</w:t>
            </w:r>
          </w:p>
        </w:tc>
      </w:tr>
      <w:tr>
        <w:tc>
          <w:tcPr>
            <w:tcW w:type="dxa" w:w="15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Front door</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Four engagement types presented as a peer ladder, each separately pitchable.</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One marketed entry point, the Alignment Diagnostic. The other three are named expansion paths off diagnostic findings.</w:t>
            </w:r>
          </w:p>
        </w:tc>
        <w:tc>
          <w:tcPr>
            <w:tcW w:type="dxa" w:w="28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Broad help gets you hired once. A named problem gets you called first.</w:t>
            </w:r>
          </w:p>
        </w:tc>
      </w:tr>
      <w:tr>
        <w:tc>
          <w:tcPr>
            <w:tcW w:type="dxa" w:w="15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Diagnostic pricing</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Four to six weeks, fixed scope, fee derived from estimated effort.</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Flat fixed fee, published, fully credited against the engagement that follows.</w:t>
            </w:r>
          </w:p>
        </w:tc>
        <w:tc>
          <w:tcPr>
            <w:tcW w:type="dxa" w:w="28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Takes hours out of the buyer conversation entirely and builds the ladder pull into the price.</w:t>
            </w:r>
          </w:p>
        </w:tc>
      </w:tr>
      <w:tr>
        <w:tc>
          <w:tcPr>
            <w:tcW w:type="dxa" w:w="15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Retainer pricing</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Two to two and a half days per week, priced from an hourly rate.</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Flat monthly access fee with a capped day envelope. Access and accountability are the product.</w:t>
            </w:r>
          </w:p>
        </w:tc>
        <w:tc>
          <w:tcPr>
            <w:tcW w:type="dxa" w:w="28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Advisors are paid for access, not delivery hours. This is also the only change here that alters the business plan math.</w:t>
            </w:r>
          </w:p>
        </w:tc>
      </w:tr>
      <w:tr>
        <w:tc>
          <w:tcPr>
            <w:tcW w:type="dxa" w:w="15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Positioning language</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"Transformation" as the category; capability described across three waves and four offerings.</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One named problem, one named buyer, one named outcome, stated in a single sentence.</w:t>
            </w:r>
          </w:p>
        </w:tc>
        <w:tc>
          <w:tcPr>
            <w:tcW w:type="dxa" w:w="28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"Transformation" is a category, not a niche. A niche is a specific buyer, a specific problem, a specific measurable outcome.</w:t>
            </w:r>
          </w:p>
        </w:tc>
      </w:tr>
    </w:tbl>
    <w:p>
      <w:pPr>
        <w:spacing w:after="140"/>
      </w:pPr>
      <w:r>
        <w:rPr>
          <w:sz w:val="2"/>
          <w:szCs w:val="2"/>
        </w:rPr>
        <w:t xml:space="preserve"/>
      </w:r>
    </w:p>
    <w:p>
      <w:pPr>
        <w:pBdr>
          <w:left w:val="single" w:color="1F8A82" w:sz="18" w:space="8"/>
        </w:pBdr>
        <w:shd w:fill="F0F4F5" w:color="auto" w:val="clear"/>
        <w:spacing w:after="140" w:before="100" w:line="264"/>
        <w:ind w:left="120" w:right="120"/>
      </w:pPr>
      <w:r>
        <w:rPr>
          <w:rFonts w:ascii="Calibri" w:cs="Calibri" w:eastAsia="Calibri" w:hAnsi="Calibri"/>
          <w:b/>
          <w:bCs/>
          <w:color w:val="2B2E31"/>
          <w:sz w:val="19"/>
          <w:szCs w:val="19"/>
        </w:rPr>
        <w:t xml:space="preserve">What did not change. </w:t>
      </w:r>
      <w:r>
        <w:rPr>
          <w:rFonts w:ascii="Calibri" w:cs="Calibri" w:eastAsia="Calibri" w:hAnsi="Calibri"/>
          <w:color w:val="2B2E31"/>
          <w:sz w:val="19"/>
          <w:szCs w:val="19"/>
        </w:rPr>
        <w:t xml:space="preserve">The underlying diagnostic instrument, the eight dimensions, the three waves credibility narrative, the execution network delivery model, and the successor transition principle all carry forward intact. This is a repositioning and a repricing, not a rebuild. The substance was never the problem.</w:t>
      </w:r>
    </w:p>
    <w:p>
      <w:r>
        <w:br w:type="page"/>
      </w:r>
    </w:p>
    <w:p>
      <w:pPr>
        <w:pStyle w:val="Heading1"/>
        <w:pBdr>
          <w:bottom w:val="single" w:color="C9D2D8" w:sz="8" w:space="4"/>
        </w:pBdr>
        <w:spacing w:after="140" w:before="320"/>
      </w:pPr>
      <w:r>
        <w:rPr>
          <w:rFonts w:ascii="Calibri" w:cs="Calibri" w:eastAsia="Calibri" w:hAnsi="Calibri"/>
          <w:b/>
          <w:bCs/>
          <w:color w:val="1B2A3A"/>
          <w:sz w:val="26"/>
          <w:szCs w:val="26"/>
        </w:rPr>
        <w:t xml:space="preserve">2. The practice reset</w:t>
      </w:r>
    </w:p>
    <w:p>
      <w:pPr>
        <w:pStyle w:val="Heading2"/>
        <w:spacing w:after="100" w:before="240"/>
      </w:pPr>
      <w:r>
        <w:rPr>
          <w:rFonts w:ascii="Calibri" w:cs="Calibri" w:eastAsia="Calibri" w:hAnsi="Calibri"/>
          <w:b/>
          <w:bCs/>
          <w:color w:val="1B2A3A"/>
          <w:sz w:val="22"/>
          <w:szCs w:val="22"/>
        </w:rPr>
        <w:t xml:space="preserve">2.1 Name and scope</w:t>
      </w:r>
    </w:p>
    <w:p>
      <w:pPr>
        <w:spacing w:after="120" w:before="0" w:line="264"/>
      </w:pPr>
      <w:r>
        <w:rPr>
          <w:rFonts w:ascii="Calibri" w:cs="Calibri" w:eastAsia="Calibri" w:hAnsi="Calibri"/>
          <w:b/>
          <w:bCs/>
          <w:color w:val="2B2E31"/>
          <w:sz w:val="20"/>
          <w:szCs w:val="20"/>
        </w:rPr>
        <w:t xml:space="preserve">Operating Model Alignment</w:t>
      </w:r>
      <w:r>
        <w:rPr>
          <w:rFonts w:ascii="Calibri" w:cs="Calibri" w:eastAsia="Calibri" w:hAnsi="Calibri"/>
          <w:color w:val="2B2E31"/>
          <w:sz w:val="20"/>
          <w:szCs w:val="20"/>
        </w:rPr>
        <w:t xml:space="preserve">. The practice realigns the operating structures that decide whether a major change compounds or fragments. "Alignment" is doing deliberate work in that name. It is the diagnosis, the deliverable, and the measure of success all at once: the gap between what an organization has funded and what its structures can actually absorb. It also travels across triggers in a way that "AI-Native" cannot, and it avoids "Transformation," which every competitor is already using as a category label.</w:t>
      </w:r>
    </w:p>
    <w:p>
      <w:pPr>
        <w:spacing w:after="120" w:before="0" w:line="264"/>
      </w:pPr>
      <w:r>
        <w:rPr>
          <w:rFonts w:ascii="Calibri" w:cs="Calibri" w:eastAsia="Calibri" w:hAnsi="Calibri"/>
          <w:color w:val="2B2E31"/>
          <w:sz w:val="20"/>
          <w:szCs w:val="20"/>
        </w:rPr>
        <w:t xml:space="preserve">Scope boundary, stated plainly so it can be defended in a sales conversation: the practice works on decision rights, team structure and capacity, discovery and review cadence, accountability, and metric definition. It does not do technology implementation, and it does not do individual executive coaching. Delivery capacity beyond the advisory work comes through the curated execution network under a single accountable contract.</w:t>
      </w:r>
    </w:p>
    <w:p>
      <w:pPr>
        <w:pStyle w:val="Heading2"/>
        <w:spacing w:after="100" w:before="240"/>
      </w:pPr>
      <w:r>
        <w:rPr>
          <w:rFonts w:ascii="Calibri" w:cs="Calibri" w:eastAsia="Calibri" w:hAnsi="Calibri"/>
          <w:b/>
          <w:bCs/>
          <w:color w:val="1B2A3A"/>
          <w:sz w:val="22"/>
          <w:szCs w:val="22"/>
        </w:rPr>
        <w:t xml:space="preserve">2.2 The named problem: DECIDED</w:t>
      </w:r>
    </w:p>
    <w:p>
      <w:pPr>
        <w:pBdr>
          <w:left w:val="single" w:color="1F8A82" w:sz="18" w:space="8"/>
        </w:pBdr>
        <w:shd w:fill="F0F4F5" w:color="auto" w:val="clear"/>
        <w:spacing w:after="140" w:before="100" w:line="264"/>
        <w:ind w:left="120" w:right="120"/>
      </w:pPr>
      <w:r>
        <w:rPr>
          <w:rFonts w:ascii="Calibri" w:cs="Calibri" w:eastAsia="Calibri" w:hAnsi="Calibri"/>
          <w:b/>
          <w:bCs/>
          <w:color w:val="1B2A3A"/>
          <w:sz w:val="23"/>
          <w:szCs w:val="23"/>
        </w:rPr>
        <w:t xml:space="preserve">“I help executives accountable for a funded transformation fix the operating model that cannot absorb it, so the investment delivers the outcome it was approved for.”</w:t>
      </w:r>
    </w:p>
    <w:p>
      <w:pPr>
        <w:spacing w:after="120" w:before="0" w:line="264"/>
      </w:pPr>
      <w:r>
        <w:rPr>
          <w:rFonts w:ascii="Calibri" w:cs="Calibri" w:eastAsia="Calibri" w:hAnsi="Calibri"/>
          <w:b/>
          <w:bCs/>
          <w:color w:val="2B2E31"/>
          <w:sz w:val="20"/>
          <w:szCs w:val="20"/>
        </w:rPr>
        <w:t xml:space="preserve">Decided 26 July 2026. </w:t>
      </w:r>
      <w:r>
        <w:rPr>
          <w:rFonts w:ascii="Calibri" w:cs="Calibri" w:eastAsia="Calibri" w:hAnsi="Calibri"/>
          <w:color w:val="2B2E31"/>
          <w:sz w:val="20"/>
          <w:szCs w:val="20"/>
        </w:rPr>
        <w:t xml:space="preserve">Option A, with the sector qualifier removed. This is now the practice's one line answer to "what do you do," and the source text for the LinkedIn headline, the About section, the handout subtitle, and the opening of any first conversation. Everything downstream should be checked against this sentence rather than against the offering list.</w:t>
      </w:r>
    </w:p>
    <w:p>
      <w:pPr>
        <w:pStyle w:val="Heading3"/>
        <w:spacing w:after="80" w:before="180"/>
      </w:pPr>
      <w:r>
        <w:rPr>
          <w:rFonts w:ascii="Calibri" w:cs="Calibri" w:eastAsia="Calibri" w:hAnsi="Calibri"/>
          <w:b/>
          <w:bCs/>
          <w:color w:val="1F8A82"/>
          <w:sz w:val="20"/>
          <w:szCs w:val="20"/>
        </w:rPr>
        <w:t xml:space="preserve">What the sentence commits to</w:t>
      </w:r>
    </w:p>
    <w:p>
      <w:pPr>
        <w:pStyle w:val="ListParagraph"/>
        <w:numPr>
          <w:ilvl w:val="0"/>
          <w:numId w:val="2"/>
        </w:numPr>
        <w:spacing w:after="70" w:line="260"/>
      </w:pPr>
      <w:r>
        <w:rPr>
          <w:rFonts w:ascii="Calibri" w:cs="Calibri" w:eastAsia="Calibri" w:hAnsi="Calibri"/>
          <w:b/>
          <w:bCs/>
          <w:color w:val="2B2E31"/>
          <w:sz w:val="20"/>
          <w:szCs w:val="20"/>
        </w:rPr>
        <w:t xml:space="preserve">Buyer, defined by accountability rather than by title or sector. </w:t>
      </w:r>
      <w:r>
        <w:rPr>
          <w:rFonts w:ascii="Calibri" w:cs="Calibri" w:eastAsia="Calibri" w:hAnsi="Calibri"/>
          <w:color w:val="2B2E31"/>
          <w:sz w:val="20"/>
          <w:szCs w:val="20"/>
        </w:rPr>
        <w:t xml:space="preserve">"Executives accountable for a funded transformation." Funded is doing real work here: it screens out the exploratory conversation that never had budget, and it means the buyer already has something at stake they can be held to.</w:t>
      </w:r>
    </w:p>
    <w:p>
      <w:pPr>
        <w:pStyle w:val="ListParagraph"/>
        <w:numPr>
          <w:ilvl w:val="0"/>
          <w:numId w:val="2"/>
        </w:numPr>
        <w:spacing w:after="70" w:line="260"/>
      </w:pPr>
      <w:r>
        <w:rPr>
          <w:rFonts w:ascii="Calibri" w:cs="Calibri" w:eastAsia="Calibri" w:hAnsi="Calibri"/>
          <w:b/>
          <w:bCs/>
          <w:color w:val="2B2E31"/>
          <w:sz w:val="20"/>
          <w:szCs w:val="20"/>
        </w:rPr>
        <w:t xml:space="preserve">Problem, stated as a structural incapacity. </w:t>
      </w:r>
      <w:r>
        <w:rPr>
          <w:rFonts w:ascii="Calibri" w:cs="Calibri" w:eastAsia="Calibri" w:hAnsi="Calibri"/>
          <w:color w:val="2B2E31"/>
          <w:sz w:val="20"/>
          <w:szCs w:val="20"/>
        </w:rPr>
        <w:t xml:space="preserve">"The operating model that cannot absorb it." Not a strategy problem, not a talent problem, not a technology problem. This is the sentence that makes the diagnostic the obvious next step.</w:t>
      </w:r>
    </w:p>
    <w:p>
      <w:pPr>
        <w:pStyle w:val="ListParagraph"/>
        <w:numPr>
          <w:ilvl w:val="0"/>
          <w:numId w:val="2"/>
        </w:numPr>
        <w:spacing w:after="70" w:line="260"/>
      </w:pPr>
      <w:r>
        <w:rPr>
          <w:rFonts w:ascii="Calibri" w:cs="Calibri" w:eastAsia="Calibri" w:hAnsi="Calibri"/>
          <w:b/>
          <w:bCs/>
          <w:color w:val="2B2E31"/>
          <w:sz w:val="20"/>
          <w:szCs w:val="20"/>
        </w:rPr>
        <w:t xml:space="preserve">Outcome, borrowed from the buyer's own business case. </w:t>
      </w:r>
      <w:r>
        <w:rPr>
          <w:rFonts w:ascii="Calibri" w:cs="Calibri" w:eastAsia="Calibri" w:hAnsi="Calibri"/>
          <w:color w:val="2B2E31"/>
          <w:sz w:val="20"/>
          <w:szCs w:val="20"/>
        </w:rPr>
        <w:t xml:space="preserve">"The outcome it was approved for." You are not inventing a promise or quantifying a benefit you cannot control. You are pointing at the commitment they already made to their own board, which is both more credible and harder to argue with than any number you could supply.</w:t>
      </w:r>
    </w:p>
    <w:p>
      <w:pPr>
        <w:pStyle w:val="Heading3"/>
        <w:spacing w:after="80" w:before="180"/>
      </w:pPr>
      <w:r>
        <w:rPr>
          <w:rFonts w:ascii="Calibri" w:cs="Calibri" w:eastAsia="Calibri" w:hAnsi="Calibri"/>
          <w:b/>
          <w:bCs/>
          <w:color w:val="1F8A82"/>
          <w:sz w:val="20"/>
          <w:szCs w:val="20"/>
        </w:rPr>
        <w:t xml:space="preserve">Alternates, not chosen, retained for the record</w:t>
      </w:r>
    </w:p>
    <w:tbl>
      <w:tblPr>
        <w:tblW w:type="dxa" w:w="9360"/>
        <w:tblBorders>
          <w:top w:val="single" w:color="C9D2D8" w:sz="4"/>
          <w:left w:val="single" w:color="C9D2D8" w:sz="4"/>
          <w:bottom w:val="single" w:color="C9D2D8" w:sz="4"/>
          <w:right w:val="single" w:color="C9D2D8" w:sz="4"/>
          <w:insideH w:val="single" w:color="C9D2D8" w:sz="4"/>
          <w:insideV w:val="single" w:color="C9D2D8" w:sz="4"/>
        </w:tblBorders>
      </w:tblPr>
      <w:tblGrid>
        <w:gridCol w:w="700"/>
        <w:gridCol w:w="8660"/>
      </w:tblGrid>
      <w:tr>
        <w:tc>
          <w:tcPr>
            <w:tcW w:type="dxa" w:w="7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B</w:t>
            </w:r>
          </w:p>
        </w:tc>
        <w:tc>
          <w:tcPr>
            <w:tcW w:type="dxa" w:w="86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"I realign decision rights, team structure and accountability at enterprises absorbing major change, so large investments compound instead of fragmenting."  (Your edit from "financial institutions" to "enterprises" is carried here. Most portable of the three, least urgent.)</w:t>
            </w:r>
          </w:p>
        </w:tc>
      </w:tr>
      <w:tr>
        <w:tc>
          <w:tcPr>
            <w:tcW w:type="dxa" w:w="7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C</w:t>
            </w:r>
          </w:p>
        </w:tc>
        <w:tc>
          <w:tcPr>
            <w:tcW w:type="dxa" w:w="86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"For leaders whose transformation has stalled at the organizational layer, I realign the operating model so delivery capacity matches the mandate."  (Sharpest in a room where the problem is already visible. Worth keeping as a spoken variant for exactly that situation, even though A is the written positioning.)</w:t>
            </w:r>
          </w:p>
        </w:tc>
      </w:tr>
    </w:tbl>
    <w:p>
      <w:pPr>
        <w:spacing w:after="140"/>
      </w:pPr>
      <w:r>
        <w:rPr>
          <w:sz w:val="2"/>
          <w:szCs w:val="2"/>
        </w:rPr>
        <w:t xml:space="preserve"/>
      </w:r>
    </w:p>
    <w:p>
      <w:pPr>
        <w:pBdr>
          <w:left w:val="single" w:color="A6791A" w:sz="18" w:space="8"/>
        </w:pBdr>
        <w:shd w:fill="FBF6E9" w:color="auto" w:val="clear"/>
        <w:spacing w:after="140" w:before="100" w:line="264"/>
        <w:ind w:left="120" w:right="120"/>
      </w:pPr>
      <w:r>
        <w:rPr>
          <w:rFonts w:ascii="Calibri" w:cs="Calibri" w:eastAsia="Calibri" w:hAnsi="Calibri"/>
          <w:b/>
          <w:bCs/>
          <w:color w:val="2B2E31"/>
          <w:sz w:val="19"/>
          <w:szCs w:val="19"/>
        </w:rPr>
        <w:t xml:space="preserve">Consequence of dropping the sector qualifier, worth tracking. </w:t>
      </w:r>
      <w:r>
        <w:rPr>
          <w:rFonts w:ascii="Calibri" w:cs="Calibri" w:eastAsia="Calibri" w:hAnsi="Calibri"/>
          <w:color w:val="2B2E31"/>
          <w:sz w:val="19"/>
          <w:szCs w:val="19"/>
        </w:rPr>
        <w:t xml:space="preserve">Removing "regulated financial institution" widens the addressable buyer and stops the positioning excluding the portfolio consolidation and non financial services opportunities that made a second deck necessary in the first place. That is the intended gain. Three things follow from it.</w:t>
      </w:r>
    </w:p>
    <w:p>
      <w:pPr>
        <w:pStyle w:val="ListParagraph"/>
        <w:numPr>
          <w:ilvl w:val="0"/>
          <w:numId w:val="2"/>
        </w:numPr>
        <w:spacing w:after="70" w:line="260"/>
      </w:pPr>
      <w:r>
        <w:rPr>
          <w:rFonts w:ascii="Calibri" w:cs="Calibri" w:eastAsia="Calibri" w:hAnsi="Calibri"/>
          <w:b/>
          <w:bCs/>
          <w:color w:val="2B2E31"/>
          <w:sz w:val="20"/>
          <w:szCs w:val="20"/>
        </w:rPr>
        <w:t xml:space="preserve">The specificity load moves. </w:t>
      </w:r>
      <w:r>
        <w:rPr>
          <w:rFonts w:ascii="Calibri" w:cs="Calibri" w:eastAsia="Calibri" w:hAnsi="Calibri"/>
          <w:color w:val="2B2E31"/>
          <w:sz w:val="20"/>
          <w:szCs w:val="20"/>
        </w:rPr>
        <w:t xml:space="preserve">The sector qualifier was carrying part of the narrowness that makes a niche work. With it gone, the sentence still names a buyer, a problem and an outcome, so it passes the test on structure. But in practice the narrowing now has to come from the trigger you name in each conversation, per 2.4, rather than from the sentence itself. Name the trigger early and specifically, every time.</w:t>
      </w:r>
    </w:p>
    <w:p>
      <w:pPr>
        <w:pStyle w:val="ListParagraph"/>
        <w:numPr>
          <w:ilvl w:val="0"/>
          <w:numId w:val="2"/>
        </w:numPr>
        <w:spacing w:after="70" w:line="260"/>
      </w:pPr>
      <w:r>
        <w:rPr>
          <w:rFonts w:ascii="Calibri" w:cs="Calibri" w:eastAsia="Calibri" w:hAnsi="Calibri"/>
          <w:b/>
          <w:bCs/>
          <w:color w:val="2B2E31"/>
          <w:sz w:val="20"/>
          <w:szCs w:val="20"/>
        </w:rPr>
        <w:t xml:space="preserve">The proof narrative gets less leverage outside financial services. </w:t>
      </w:r>
      <w:r>
        <w:rPr>
          <w:rFonts w:ascii="Calibri" w:cs="Calibri" w:eastAsia="Calibri" w:hAnsi="Calibri"/>
          <w:color w:val="2B2E31"/>
          <w:sz w:val="20"/>
          <w:szCs w:val="20"/>
        </w:rPr>
        <w:t xml:space="preserve">All three waves in the credibility story are financial services, and that is a genuine asset in front of a bank and a weaker one in front of a manufacturer or a retailer. Against a non financial services buyer, expect the diagnostic instrument itself, the eight dimensions and the scored output, to carry more of the persuasion than the resume does.</w:t>
      </w:r>
    </w:p>
    <w:p>
      <w:pPr>
        <w:pStyle w:val="ListParagraph"/>
        <w:numPr>
          <w:ilvl w:val="0"/>
          <w:numId w:val="2"/>
        </w:numPr>
        <w:spacing w:after="70" w:line="260"/>
      </w:pPr>
      <w:r>
        <w:rPr>
          <w:rFonts w:ascii="Calibri" w:cs="Calibri" w:eastAsia="Calibri" w:hAnsi="Calibri"/>
          <w:b/>
          <w:bCs/>
          <w:color w:val="2B2E31"/>
          <w:sz w:val="20"/>
          <w:szCs w:val="20"/>
        </w:rPr>
        <w:t xml:space="preserve">The rate floor assumption needs a decision. </w:t>
      </w:r>
      <w:r>
        <w:rPr>
          <w:rFonts w:ascii="Calibri" w:cs="Calibri" w:eastAsia="Calibri" w:hAnsi="Calibri"/>
          <w:color w:val="2B2E31"/>
          <w:sz w:val="20"/>
          <w:szCs w:val="20"/>
        </w:rPr>
        <w:t xml:space="preserve">The sourced hourly baseline used as the internal floor in 4.5 embeds a regulated industry premium. That premium is defensible for a bank and is not automatically defensible for a buyer outside a regulated environment. This now needs an explicit answer, added as a new open decision in section 6.</w:t>
      </w:r>
    </w:p>
    <w:p>
      <w:pPr>
        <w:pStyle w:val="Heading2"/>
        <w:spacing w:after="100" w:before="240"/>
      </w:pPr>
      <w:r>
        <w:rPr>
          <w:rFonts w:ascii="Calibri" w:cs="Calibri" w:eastAsia="Calibri" w:hAnsi="Calibri"/>
          <w:b/>
          <w:bCs/>
          <w:color w:val="1B2A3A"/>
          <w:sz w:val="22"/>
          <w:szCs w:val="22"/>
        </w:rPr>
        <w:t xml:space="preserve">2.3 The buyer</w:t>
      </w:r>
    </w:p>
    <w:p>
      <w:pPr>
        <w:spacing w:after="120" w:before="0" w:line="264"/>
      </w:pPr>
      <w:r>
        <w:rPr>
          <w:rFonts w:ascii="Calibri" w:cs="Calibri" w:eastAsia="Calibri" w:hAnsi="Calibri"/>
          <w:color w:val="2B2E31"/>
          <w:sz w:val="20"/>
          <w:szCs w:val="20"/>
        </w:rPr>
        <w:t xml:space="preserve">One buyer definition, ranked. Everything else is a referral source, not a buyer.</w:t>
      </w:r>
    </w:p>
    <w:tbl>
      <w:tblPr>
        <w:tblW w:type="dxa" w:w="9360"/>
        <w:tblBorders>
          <w:top w:val="single" w:color="C9D2D8" w:sz="4"/>
          <w:left w:val="single" w:color="C9D2D8" w:sz="4"/>
          <w:bottom w:val="single" w:color="C9D2D8" w:sz="4"/>
          <w:right w:val="single" w:color="C9D2D8" w:sz="4"/>
          <w:insideH w:val="single" w:color="C9D2D8" w:sz="4"/>
          <w:insideV w:val="single" w:color="C9D2D8" w:sz="4"/>
        </w:tblBorders>
      </w:tblPr>
      <w:tblGrid>
        <w:gridCol w:w="2400"/>
        <w:gridCol w:w="3400"/>
        <w:gridCol w:w="3560"/>
      </w:tblGrid>
      <w:tr>
        <w:trPr>
          <w:tblHeader/>
        </w:trPr>
        <w:tc>
          <w:tcPr>
            <w:tcW w:type="dxa" w:w="2400"/>
            <w:shd w:fill="EDF2F2" w:color="auto" w:val="clear"/>
            <w:tcMar>
              <w:top w:type="dxa" w:w="70"/>
              <w:left w:type="dxa" w:w="110"/>
              <w:bottom w:type="dxa" w:w="70"/>
              <w:right w:type="dxa" w:w="110"/>
            </w:tcMar>
          </w:tcPr>
          <w:p>
            <w:pPr>
              <w:spacing w:after="0" w:line="250"/>
            </w:pPr>
            <w:r>
              <w:rPr>
                <w:rFonts w:ascii="Calibri" w:cs="Calibri" w:eastAsia="Calibri" w:hAnsi="Calibri"/>
                <w:b/>
                <w:bCs/>
                <w:color w:val="1B2A3A"/>
                <w:sz w:val="17"/>
                <w:szCs w:val="17"/>
              </w:rPr>
              <w:t xml:space="preserve">Buyer</w:t>
            </w:r>
          </w:p>
        </w:tc>
        <w:tc>
          <w:tcPr>
            <w:tcW w:type="dxa" w:w="3400"/>
            <w:shd w:fill="EDF2F2" w:color="auto" w:val="clear"/>
            <w:tcMar>
              <w:top w:type="dxa" w:w="70"/>
              <w:left w:type="dxa" w:w="110"/>
              <w:bottom w:type="dxa" w:w="70"/>
              <w:right w:type="dxa" w:w="110"/>
            </w:tcMar>
          </w:tcPr>
          <w:p>
            <w:pPr>
              <w:spacing w:after="0" w:line="250"/>
            </w:pPr>
            <w:r>
              <w:rPr>
                <w:rFonts w:ascii="Calibri" w:cs="Calibri" w:eastAsia="Calibri" w:hAnsi="Calibri"/>
                <w:b/>
                <w:bCs/>
                <w:color w:val="1B2A3A"/>
                <w:sz w:val="17"/>
                <w:szCs w:val="17"/>
              </w:rPr>
              <w:t xml:space="preserve">How they identify themselves</w:t>
            </w:r>
          </w:p>
        </w:tc>
        <w:tc>
          <w:tcPr>
            <w:tcW w:type="dxa" w:w="3560"/>
            <w:shd w:fill="EDF2F2" w:color="auto" w:val="clear"/>
            <w:tcMar>
              <w:top w:type="dxa" w:w="70"/>
              <w:left w:type="dxa" w:w="110"/>
              <w:bottom w:type="dxa" w:w="70"/>
              <w:right w:type="dxa" w:w="110"/>
            </w:tcMar>
          </w:tcPr>
          <w:p>
            <w:pPr>
              <w:spacing w:after="0" w:line="250"/>
            </w:pPr>
            <w:r>
              <w:rPr>
                <w:rFonts w:ascii="Calibri" w:cs="Calibri" w:eastAsia="Calibri" w:hAnsi="Calibri"/>
                <w:b/>
                <w:bCs/>
                <w:color w:val="1B2A3A"/>
                <w:sz w:val="17"/>
                <w:szCs w:val="17"/>
              </w:rPr>
              <w:t xml:space="preserve">Why they buy</w:t>
            </w:r>
          </w:p>
        </w:tc>
      </w:tr>
      <w:tr>
        <w:tc>
          <w:tcPr>
            <w:tcW w:type="dxa" w:w="24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Primary: the executive who owns the transformation outcome</w:t>
            </w:r>
          </w:p>
        </w:tc>
        <w:tc>
          <w:tcPr>
            <w:tcW w:type="dxa" w:w="34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CTO, CIO, COO, Chief Transformation Officer, or the SVP carrying a named program with a board level commitment behind it.</w:t>
            </w:r>
          </w:p>
        </w:tc>
        <w:tc>
          <w:tcPr>
            <w:tcW w:type="dxa" w:w="35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They own a number or a date they cannot currently hit, and they already suspect the constraint is structural rather than technical.</w:t>
            </w:r>
          </w:p>
        </w:tc>
      </w:tr>
      <w:tr>
        <w:tc>
          <w:tcPr>
            <w:tcW w:type="dxa" w:w="24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Secondary: the platform or portfolio leader mid consolidation</w:t>
            </w:r>
          </w:p>
        </w:tc>
        <w:tc>
          <w:tcPr>
            <w:tcW w:type="dxa" w:w="34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VP or Head of Platform, Engineering, or Shared Services, absorbing fragmented capability into one function.</w:t>
            </w:r>
          </w:p>
        </w:tc>
        <w:tc>
          <w:tcPr>
            <w:tcW w:type="dxa" w:w="35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They inherited pieces that do not fit together and have no operating model to run them as one thing.</w:t>
            </w:r>
          </w:p>
        </w:tc>
      </w:tr>
      <w:tr>
        <w:tc>
          <w:tcPr>
            <w:tcW w:type="dxa" w:w="24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Channel, not buyer: delivery and dealmaker firms</w:t>
            </w:r>
          </w:p>
        </w:tc>
        <w:tc>
          <w:tcPr>
            <w:tcW w:type="dxa" w:w="34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Partners at execution firms and upstream advisory firms assembling flexible delivery teams.</w:t>
            </w:r>
          </w:p>
        </w:tc>
        <w:tc>
          <w:tcPr>
            <w:tcW w:type="dxa" w:w="35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They need organizational change advisory attached to technical delivery to de risk their own engagement. Route to work, not the end buyer.</w:t>
            </w:r>
          </w:p>
        </w:tc>
      </w:tr>
    </w:tbl>
    <w:p>
      <w:pPr>
        <w:pStyle w:val="Heading2"/>
        <w:spacing w:after="100" w:before="240"/>
      </w:pPr>
      <w:r>
        <w:rPr>
          <w:rFonts w:ascii="Calibri" w:cs="Calibri" w:eastAsia="Calibri" w:hAnsi="Calibri"/>
          <w:b/>
          <w:bCs/>
          <w:color w:val="1B2A3A"/>
          <w:sz w:val="22"/>
          <w:szCs w:val="22"/>
        </w:rPr>
        <w:t xml:space="preserve">2.4 Trigger contexts</w:t>
      </w:r>
    </w:p>
    <w:p>
      <w:pPr>
        <w:spacing w:after="120" w:before="0" w:line="264"/>
      </w:pPr>
      <w:r>
        <w:rPr>
          <w:rFonts w:ascii="Calibri" w:cs="Calibri" w:eastAsia="Calibri" w:hAnsi="Calibri"/>
          <w:color w:val="2B2E31"/>
          <w:sz w:val="20"/>
          <w:szCs w:val="20"/>
        </w:rPr>
        <w:t xml:space="preserve">This is the reset that matters most. The practice is defined by the failure mode, not by the trigger. Each trigger below presents differently in the room and exposes the same alignment gaps underneath. Name the trigger in the deal, never in the practice.</w:t>
      </w:r>
    </w:p>
    <w:tbl>
      <w:tblPr>
        <w:tblW w:type="dxa" w:w="9360"/>
        <w:tblBorders>
          <w:top w:val="single" w:color="C9D2D8" w:sz="4"/>
          <w:left w:val="single" w:color="C9D2D8" w:sz="4"/>
          <w:bottom w:val="single" w:color="C9D2D8" w:sz="4"/>
          <w:right w:val="single" w:color="C9D2D8" w:sz="4"/>
          <w:insideH w:val="single" w:color="C9D2D8" w:sz="4"/>
          <w:insideV w:val="single" w:color="C9D2D8" w:sz="4"/>
        </w:tblBorders>
      </w:tblPr>
      <w:tblGrid>
        <w:gridCol w:w="1900"/>
        <w:gridCol w:w="3600"/>
        <w:gridCol w:w="3860"/>
      </w:tblGrid>
      <w:tr>
        <w:trPr>
          <w:tblHeader/>
        </w:trPr>
        <w:tc>
          <w:tcPr>
            <w:tcW w:type="dxa" w:w="1900"/>
            <w:shd w:fill="EDF2F2" w:color="auto" w:val="clear"/>
            <w:tcMar>
              <w:top w:type="dxa" w:w="70"/>
              <w:left w:type="dxa" w:w="110"/>
              <w:bottom w:type="dxa" w:w="70"/>
              <w:right w:type="dxa" w:w="110"/>
            </w:tcMar>
          </w:tcPr>
          <w:p>
            <w:pPr>
              <w:spacing w:after="0" w:line="250"/>
            </w:pPr>
            <w:r>
              <w:rPr>
                <w:rFonts w:ascii="Calibri" w:cs="Calibri" w:eastAsia="Calibri" w:hAnsi="Calibri"/>
                <w:b/>
                <w:bCs/>
                <w:color w:val="1B2A3A"/>
                <w:sz w:val="17"/>
                <w:szCs w:val="17"/>
              </w:rPr>
              <w:t xml:space="preserve">Trigger context</w:t>
            </w:r>
          </w:p>
        </w:tc>
        <w:tc>
          <w:tcPr>
            <w:tcW w:type="dxa" w:w="3600"/>
            <w:shd w:fill="EDF2F2" w:color="auto" w:val="clear"/>
            <w:tcMar>
              <w:top w:type="dxa" w:w="70"/>
              <w:left w:type="dxa" w:w="110"/>
              <w:bottom w:type="dxa" w:w="70"/>
              <w:right w:type="dxa" w:w="110"/>
            </w:tcMar>
          </w:tcPr>
          <w:p>
            <w:pPr>
              <w:spacing w:after="0" w:line="250"/>
            </w:pPr>
            <w:r>
              <w:rPr>
                <w:rFonts w:ascii="Calibri" w:cs="Calibri" w:eastAsia="Calibri" w:hAnsi="Calibri"/>
                <w:b/>
                <w:bCs/>
                <w:color w:val="1B2A3A"/>
                <w:sz w:val="17"/>
                <w:szCs w:val="17"/>
              </w:rPr>
              <w:t xml:space="preserve">How it presents</w:t>
            </w:r>
          </w:p>
        </w:tc>
        <w:tc>
          <w:tcPr>
            <w:tcW w:type="dxa" w:w="3860"/>
            <w:shd w:fill="EDF2F2" w:color="auto" w:val="clear"/>
            <w:tcMar>
              <w:top w:type="dxa" w:w="70"/>
              <w:left w:type="dxa" w:w="110"/>
              <w:bottom w:type="dxa" w:w="70"/>
              <w:right w:type="dxa" w:w="110"/>
            </w:tcMar>
          </w:tcPr>
          <w:p>
            <w:pPr>
              <w:spacing w:after="0" w:line="250"/>
            </w:pPr>
            <w:r>
              <w:rPr>
                <w:rFonts w:ascii="Calibri" w:cs="Calibri" w:eastAsia="Calibri" w:hAnsi="Calibri"/>
                <w:b/>
                <w:bCs/>
                <w:color w:val="1B2A3A"/>
                <w:sz w:val="17"/>
                <w:szCs w:val="17"/>
              </w:rPr>
              <w:t xml:space="preserve">The alignment gap it exposes</w:t>
            </w:r>
          </w:p>
        </w:tc>
      </w:tr>
      <w:tr>
        <w:tc>
          <w:tcPr>
            <w:tcW w:type="dxa" w:w="19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AI adoption at scale</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Tooling deployed broadly, licence spend approved, no proportional change in throughput or quality.</w:t>
            </w:r>
          </w:p>
        </w:tc>
        <w:tc>
          <w:tcPr>
            <w:tcW w:type="dxa" w:w="38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Discovery cadence and review forums never changed, so faster making just fills an unchanged decision queue.</w:t>
            </w:r>
          </w:p>
        </w:tc>
      </w:tr>
      <w:tr>
        <w:tc>
          <w:tcPr>
            <w:tcW w:type="dxa" w:w="19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Product model transition</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Teams renamed to squads and pods; funding, governance and accountability still run on the project calendar.</w:t>
            </w:r>
          </w:p>
        </w:tc>
        <w:tc>
          <w:tcPr>
            <w:tcW w:type="dxa" w:w="38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Ownership is nominal. Decision rights never moved with the label.</w:t>
            </w:r>
          </w:p>
        </w:tc>
      </w:tr>
      <w:tr>
        <w:tc>
          <w:tcPr>
            <w:tcW w:type="dxa" w:w="19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Large scale cloud adoption</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Migration hits its infrastructure milestones and misses every business case milestone behind it.</w:t>
            </w:r>
          </w:p>
        </w:tc>
        <w:tc>
          <w:tcPr>
            <w:tcW w:type="dxa" w:w="38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Platform is consumed as infrastructure because no one owns it as a product with internal customers.</w:t>
            </w:r>
          </w:p>
        </w:tc>
      </w:tr>
      <w:tr>
        <w:tc>
          <w:tcPr>
            <w:tcW w:type="dxa" w:w="19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Cloud divestment or repatriation</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A reversal driven by cost, sovereignty, private model hosting, or concentration risk.</w:t>
            </w:r>
          </w:p>
        </w:tc>
        <w:tc>
          <w:tcPr>
            <w:tcW w:type="dxa" w:w="38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Capability was outsourced along with the workload. Bringing it back needs a team topology that no longer exists.</w:t>
            </w:r>
          </w:p>
        </w:tc>
      </w:tr>
      <w:tr>
        <w:tc>
          <w:tcPr>
            <w:tcW w:type="dxa" w:w="19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Portfolio or platform consolidation</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Fragmented capabilities pulled into one function, often after a reorg or carve out.</w:t>
            </w:r>
          </w:p>
        </w:tc>
        <w:tc>
          <w:tcPr>
            <w:tcW w:type="dxa" w:w="38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Several operating models colliding with no single decision path and duplicate accountability.</w:t>
            </w:r>
          </w:p>
        </w:tc>
      </w:tr>
      <w:tr>
        <w:tc>
          <w:tcPr>
            <w:tcW w:type="dxa" w:w="19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Merger or acquisition integration</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Integration plan tracks systems and headcount, not decision rights.</w:t>
            </w:r>
          </w:p>
        </w:tc>
        <w:tc>
          <w:tcPr>
            <w:tcW w:type="dxa" w:w="38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Two governance cultures running in parallel, with escalation as the only reconciliation mechanism.</w:t>
            </w:r>
          </w:p>
        </w:tc>
      </w:tr>
      <w:tr>
        <w:tc>
          <w:tcPr>
            <w:tcW w:type="dxa" w:w="19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Regulatory or mandate driven change</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A named deadline with a compliance owner and no delivery model to carry it.</w:t>
            </w:r>
          </w:p>
        </w:tc>
        <w:tc>
          <w:tcPr>
            <w:tcW w:type="dxa" w:w="38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Accountability sits with a function that has no authority over the teams that must change.</w:t>
            </w:r>
          </w:p>
        </w:tc>
      </w:tr>
      <w:tr>
        <w:tc>
          <w:tcPr>
            <w:tcW w:type="dxa" w:w="19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Post reorg or leadership change</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New mandate, inherited structure, pressure to show movement in a quarter.</w:t>
            </w:r>
          </w:p>
        </w:tc>
        <w:tc>
          <w:tcPr>
            <w:tcW w:type="dxa" w:w="38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The structure was optimized for the previous strategy and nobody has re cut it for this one.</w:t>
            </w:r>
          </w:p>
        </w:tc>
      </w:tr>
    </w:tbl>
    <w:p>
      <w:pPr>
        <w:spacing w:after="140"/>
      </w:pPr>
      <w:r>
        <w:rPr>
          <w:sz w:val="2"/>
          <w:szCs w:val="2"/>
        </w:rPr>
        <w:t xml:space="preserve"/>
      </w:r>
    </w:p>
    <w:p>
      <w:pPr>
        <w:pBdr>
          <w:left w:val="single" w:color="1F8A82" w:sz="18" w:space="8"/>
        </w:pBdr>
        <w:shd w:fill="F0F4F5" w:color="auto" w:val="clear"/>
        <w:spacing w:after="140" w:before="100" w:line="264"/>
        <w:ind w:left="120" w:right="120"/>
      </w:pPr>
      <w:r>
        <w:rPr>
          <w:rFonts w:ascii="Calibri" w:cs="Calibri" w:eastAsia="Calibri" w:hAnsi="Calibri"/>
          <w:b/>
          <w:bCs/>
          <w:color w:val="2B2E31"/>
          <w:sz w:val="19"/>
          <w:szCs w:val="19"/>
        </w:rPr>
        <w:t xml:space="preserve">The sales consequence. </w:t>
      </w:r>
      <w:r>
        <w:rPr>
          <w:rFonts w:ascii="Calibri" w:cs="Calibri" w:eastAsia="Calibri" w:hAnsi="Calibri"/>
          <w:color w:val="2B2E31"/>
          <w:sz w:val="19"/>
          <w:szCs w:val="19"/>
        </w:rPr>
        <w:t xml:space="preserve">You stop needing a second deck. When a prospect's pain is not AI driven, you name their trigger in the first column and the conversation proceeds identically. The Symcor style portfolio consolidation opportunity and an AI adoption opportunity are the same offering with a different opening sentence.</w:t>
      </w:r>
    </w:p>
    <w:p>
      <w:pPr>
        <w:pStyle w:val="Heading2"/>
        <w:spacing w:after="100" w:before="240"/>
      </w:pPr>
      <w:r>
        <w:rPr>
          <w:rFonts w:ascii="Calibri" w:cs="Calibri" w:eastAsia="Calibri" w:hAnsi="Calibri"/>
          <w:b/>
          <w:bCs/>
          <w:color w:val="1B2A3A"/>
          <w:sz w:val="22"/>
          <w:szCs w:val="22"/>
        </w:rPr>
        <w:t xml:space="preserve">2.5 What alignment means concretely</w:t>
      </w:r>
    </w:p>
    <w:p>
      <w:pPr>
        <w:spacing w:after="120" w:before="0" w:line="264"/>
      </w:pPr>
      <w:r>
        <w:rPr>
          <w:rFonts w:ascii="Calibri" w:cs="Calibri" w:eastAsia="Calibri" w:hAnsi="Calibri"/>
          <w:color w:val="2B2E31"/>
          <w:sz w:val="20"/>
          <w:szCs w:val="20"/>
        </w:rPr>
        <w:t xml:space="preserve">The instrument stays as it is. Stating it here so the offerings below have something specific to point at, and so "alignment" never floats free as an abstraction in a client conversation.</w:t>
      </w:r>
    </w:p>
    <w:p>
      <w:pPr>
        <w:pStyle w:val="ListParagraph"/>
        <w:numPr>
          <w:ilvl w:val="0"/>
          <w:numId w:val="2"/>
        </w:numPr>
        <w:spacing w:after="70" w:line="260"/>
      </w:pPr>
      <w:r>
        <w:rPr>
          <w:rFonts w:ascii="Calibri" w:cs="Calibri" w:eastAsia="Calibri" w:hAnsi="Calibri"/>
          <w:color w:val="2B2E31"/>
          <w:sz w:val="20"/>
          <w:szCs w:val="20"/>
        </w:rPr>
        <w:t xml:space="preserve">Decision rights: who decides, at what threshold, and how fast a decision can actually clear.</w:t>
      </w:r>
    </w:p>
    <w:p>
      <w:pPr>
        <w:pStyle w:val="ListParagraph"/>
        <w:numPr>
          <w:ilvl w:val="0"/>
          <w:numId w:val="2"/>
        </w:numPr>
        <w:spacing w:after="70" w:line="260"/>
      </w:pPr>
      <w:r>
        <w:rPr>
          <w:rFonts w:ascii="Calibri" w:cs="Calibri" w:eastAsia="Calibri" w:hAnsi="Calibri"/>
          <w:color w:val="2B2E31"/>
          <w:sz w:val="20"/>
          <w:szCs w:val="20"/>
        </w:rPr>
        <w:t xml:space="preserve">Team structure and topology: how teams are cut relative to the value they own.</w:t>
      </w:r>
    </w:p>
    <w:p>
      <w:pPr>
        <w:pStyle w:val="ListParagraph"/>
        <w:numPr>
          <w:ilvl w:val="0"/>
          <w:numId w:val="2"/>
        </w:numPr>
        <w:spacing w:after="70" w:line="260"/>
      </w:pPr>
      <w:r>
        <w:rPr>
          <w:rFonts w:ascii="Calibri" w:cs="Calibri" w:eastAsia="Calibri" w:hAnsi="Calibri"/>
          <w:color w:val="2B2E31"/>
          <w:sz w:val="20"/>
          <w:szCs w:val="20"/>
        </w:rPr>
        <w:t xml:space="preserve">Capacity model: whether new capability landing on a team has resourcing behind it or is expected to be absorbed.</w:t>
      </w:r>
    </w:p>
    <w:p>
      <w:pPr>
        <w:pStyle w:val="ListParagraph"/>
        <w:numPr>
          <w:ilvl w:val="0"/>
          <w:numId w:val="2"/>
        </w:numPr>
        <w:spacing w:after="70" w:line="260"/>
      </w:pPr>
      <w:r>
        <w:rPr>
          <w:rFonts w:ascii="Calibri" w:cs="Calibri" w:eastAsia="Calibri" w:hAnsi="Calibri"/>
          <w:color w:val="2B2E31"/>
          <w:sz w:val="20"/>
          <w:szCs w:val="20"/>
        </w:rPr>
        <w:t xml:space="preserve">Discovery and review cadence: how often assumptions get tested against reality, and by whom.</w:t>
      </w:r>
    </w:p>
    <w:p>
      <w:pPr>
        <w:pStyle w:val="ListParagraph"/>
        <w:numPr>
          <w:ilvl w:val="0"/>
          <w:numId w:val="2"/>
        </w:numPr>
        <w:spacing w:after="70" w:line="260"/>
      </w:pPr>
      <w:r>
        <w:rPr>
          <w:rFonts w:ascii="Calibri" w:cs="Calibri" w:eastAsia="Calibri" w:hAnsi="Calibri"/>
          <w:color w:val="2B2E31"/>
          <w:sz w:val="20"/>
          <w:szCs w:val="20"/>
        </w:rPr>
        <w:t xml:space="preserve">Accountability and ownership: whether ownership is nominal or carries real authority and consequence.</w:t>
      </w:r>
    </w:p>
    <w:p>
      <w:pPr>
        <w:pStyle w:val="ListParagraph"/>
        <w:numPr>
          <w:ilvl w:val="0"/>
          <w:numId w:val="2"/>
        </w:numPr>
        <w:spacing w:after="70" w:line="260"/>
      </w:pPr>
      <w:r>
        <w:rPr>
          <w:rFonts w:ascii="Calibri" w:cs="Calibri" w:eastAsia="Calibri" w:hAnsi="Calibri"/>
          <w:color w:val="2B2E31"/>
          <w:sz w:val="20"/>
          <w:szCs w:val="20"/>
        </w:rPr>
        <w:t xml:space="preserve">Metric definition: whether the organization measures value created or work shipped.</w:t>
      </w:r>
    </w:p>
    <w:p>
      <w:pPr>
        <w:pStyle w:val="ListParagraph"/>
        <w:numPr>
          <w:ilvl w:val="0"/>
          <w:numId w:val="2"/>
        </w:numPr>
        <w:spacing w:after="70" w:line="260"/>
      </w:pPr>
      <w:r>
        <w:rPr>
          <w:rFonts w:ascii="Calibri" w:cs="Calibri" w:eastAsia="Calibri" w:hAnsi="Calibri"/>
          <w:color w:val="2B2E31"/>
          <w:sz w:val="20"/>
          <w:szCs w:val="20"/>
        </w:rPr>
        <w:t xml:space="preserve">Governance architecture: how oversight is exercised without becoming the bottleneck.</w:t>
      </w:r>
    </w:p>
    <w:p>
      <w:pPr>
        <w:pStyle w:val="ListParagraph"/>
        <w:numPr>
          <w:ilvl w:val="0"/>
          <w:numId w:val="2"/>
        </w:numPr>
        <w:spacing w:after="70" w:line="260"/>
      </w:pPr>
      <w:r>
        <w:rPr>
          <w:rFonts w:ascii="Calibri" w:cs="Calibri" w:eastAsia="Calibri" w:hAnsi="Calibri"/>
          <w:color w:val="2B2E31"/>
          <w:sz w:val="20"/>
          <w:szCs w:val="20"/>
        </w:rPr>
        <w:t xml:space="preserve">Platform foundations: whether shared capability is run as a product with internal customers.</w:t>
      </w:r>
    </w:p>
    <w:p>
      <w:pPr>
        <w:pStyle w:val="Heading2"/>
        <w:spacing w:after="100" w:before="240"/>
      </w:pPr>
      <w:r>
        <w:rPr>
          <w:rFonts w:ascii="Calibri" w:cs="Calibri" w:eastAsia="Calibri" w:hAnsi="Calibri"/>
          <w:b/>
          <w:bCs/>
          <w:color w:val="1B2A3A"/>
          <w:sz w:val="22"/>
          <w:szCs w:val="22"/>
        </w:rPr>
        <w:t xml:space="preserve">2.6 Trigger specific variants: decided</w:t>
      </w:r>
    </w:p>
    <w:p>
      <w:pPr>
        <w:spacing w:after="120" w:before="0" w:line="264"/>
      </w:pPr>
      <w:r>
        <w:rPr>
          <w:rFonts w:ascii="Calibri" w:cs="Calibri" w:eastAsia="Calibri" w:hAnsi="Calibri"/>
          <w:b/>
          <w:bCs/>
          <w:color w:val="2B2E31"/>
          <w:sz w:val="20"/>
          <w:szCs w:val="20"/>
        </w:rPr>
        <w:t xml:space="preserve">Decision: </w:t>
      </w:r>
      <w:r>
        <w:rPr>
          <w:rFonts w:ascii="Calibri" w:cs="Calibri" w:eastAsia="Calibri" w:hAnsi="Calibri"/>
          <w:color w:val="2B2E31"/>
          <w:sz w:val="20"/>
          <w:szCs w:val="20"/>
        </w:rPr>
        <w:t xml:space="preserve">the AI-Native materials are kept as a trigger specific variant rather than retired, to be reconsidered later. That is a defensible call, and it only stays defensible if the variant rule below is enforced, because the failure mode is the two decks drifting back into two practices.</w:t>
      </w:r>
    </w:p>
    <w:p>
      <w:pPr>
        <w:pStyle w:val="Heading3"/>
        <w:spacing w:after="80" w:before="180"/>
      </w:pPr>
      <w:r>
        <w:rPr>
          <w:rFonts w:ascii="Calibri" w:cs="Calibri" w:eastAsia="Calibri" w:hAnsi="Calibri"/>
          <w:b/>
          <w:bCs/>
          <w:color w:val="1F8A82"/>
          <w:sz w:val="20"/>
          <w:szCs w:val="20"/>
        </w:rPr>
        <w:t xml:space="preserve">The variant rule</w:t>
      </w:r>
    </w:p>
    <w:p>
      <w:pPr>
        <w:pStyle w:val="ListParagraph"/>
        <w:numPr>
          <w:ilvl w:val="0"/>
          <w:numId w:val="2"/>
        </w:numPr>
        <w:spacing w:after="70" w:line="260"/>
      </w:pPr>
      <w:r>
        <w:rPr>
          <w:rFonts w:ascii="Calibri" w:cs="Calibri" w:eastAsia="Calibri" w:hAnsi="Calibri"/>
          <w:b/>
          <w:bCs/>
          <w:color w:val="2B2E31"/>
          <w:sz w:val="20"/>
          <w:szCs w:val="20"/>
        </w:rPr>
        <w:t xml:space="preserve">One practice, one positioning sentence, one ladder, one price book. </w:t>
      </w:r>
      <w:r>
        <w:rPr>
          <w:rFonts w:ascii="Calibri" w:cs="Calibri" w:eastAsia="Calibri" w:hAnsi="Calibri"/>
          <w:color w:val="2B2E31"/>
          <w:sz w:val="20"/>
          <w:szCs w:val="20"/>
        </w:rPr>
        <w:t xml:space="preserve">Variants may differ only in the opening framing and the trigger specific evidence. They may never differ in the offering set, the offering names, or the pricing.</w:t>
      </w:r>
    </w:p>
    <w:p>
      <w:pPr>
        <w:pStyle w:val="ListParagraph"/>
        <w:numPr>
          <w:ilvl w:val="0"/>
          <w:numId w:val="2"/>
        </w:numPr>
        <w:spacing w:after="70" w:line="260"/>
      </w:pPr>
      <w:r>
        <w:rPr>
          <w:rFonts w:ascii="Calibri" w:cs="Calibri" w:eastAsia="Calibri" w:hAnsi="Calibri"/>
          <w:b/>
          <w:bCs/>
          <w:color w:val="2B2E31"/>
          <w:sz w:val="20"/>
          <w:szCs w:val="20"/>
        </w:rPr>
        <w:t xml:space="preserve">Which one to use. </w:t>
      </w:r>
      <w:r>
        <w:rPr>
          <w:rFonts w:ascii="Calibri" w:cs="Calibri" w:eastAsia="Calibri" w:hAnsi="Calibri"/>
          <w:color w:val="2B2E31"/>
          <w:sz w:val="20"/>
          <w:szCs w:val="20"/>
        </w:rPr>
        <w:t xml:space="preserve">Use the AI framing when the buyer's own words for their problem are AI. Use the general framing for everything else. The buyer's language decides, not yours.</w:t>
      </w:r>
    </w:p>
    <w:p>
      <w:pPr>
        <w:pStyle w:val="ListParagraph"/>
        <w:numPr>
          <w:ilvl w:val="0"/>
          <w:numId w:val="2"/>
        </w:numPr>
        <w:spacing w:after="70" w:line="260"/>
      </w:pPr>
      <w:r>
        <w:rPr>
          <w:rFonts w:ascii="Calibri" w:cs="Calibri" w:eastAsia="Calibri" w:hAnsi="Calibri"/>
          <w:b/>
          <w:bCs/>
          <w:color w:val="2B2E31"/>
          <w:sz w:val="20"/>
          <w:szCs w:val="20"/>
        </w:rPr>
        <w:t xml:space="preserve">Immediate consistency work. </w:t>
      </w:r>
      <w:r>
        <w:rPr>
          <w:rFonts w:ascii="Calibri" w:cs="Calibri" w:eastAsia="Calibri" w:hAnsi="Calibri"/>
          <w:color w:val="2B2E31"/>
          <w:sz w:val="20"/>
          <w:szCs w:val="20"/>
        </w:rPr>
        <w:t xml:space="preserve">The AI-Native handout currently carries its own practice framing. To function as a variant rather than a rival, it needs the practice name and the 2.2 positioning sentence brought into line with this draft. Until that is done, the two documents contradict each other in front of a buyer who has seen both.</w:t>
      </w:r>
    </w:p>
    <w:p>
      <w:pPr>
        <w:pStyle w:val="ListParagraph"/>
        <w:numPr>
          <w:ilvl w:val="0"/>
          <w:numId w:val="2"/>
        </w:numPr>
        <w:spacing w:after="70" w:line="260"/>
      </w:pPr>
      <w:r>
        <w:rPr>
          <w:rFonts w:ascii="Calibri" w:cs="Calibri" w:eastAsia="Calibri" w:hAnsi="Calibri"/>
          <w:b/>
          <w:bCs/>
          <w:color w:val="2B2E31"/>
          <w:sz w:val="20"/>
          <w:szCs w:val="20"/>
        </w:rPr>
        <w:t xml:space="preserve">The ongoing cost, stated plainly. </w:t>
      </w:r>
      <w:r>
        <w:rPr>
          <w:rFonts w:ascii="Calibri" w:cs="Calibri" w:eastAsia="Calibri" w:hAnsi="Calibri"/>
          <w:color w:val="2B2E31"/>
          <w:sz w:val="20"/>
          <w:szCs w:val="20"/>
        </w:rPr>
        <w:t xml:space="preserve">Every future positioning or pricing change now has to be made twice. That is the actual price of keeping both, and it is a good reason to set a review point rather than leaving the decision open indefinitely.</w:t>
      </w:r>
    </w:p>
    <w:p>
      <w:pPr>
        <w:pStyle w:val="ListParagraph"/>
        <w:numPr>
          <w:ilvl w:val="0"/>
          <w:numId w:val="2"/>
        </w:numPr>
        <w:spacing w:after="70" w:line="260"/>
      </w:pPr>
      <w:r>
        <w:rPr>
          <w:rFonts w:ascii="Calibri" w:cs="Calibri" w:eastAsia="Calibri" w:hAnsi="Calibri"/>
          <w:b/>
          <w:bCs/>
          <w:color w:val="2B2E31"/>
          <w:sz w:val="20"/>
          <w:szCs w:val="20"/>
        </w:rPr>
        <w:t xml:space="preserve">Suggested review trigger. </w:t>
      </w:r>
      <w:r>
        <w:rPr>
          <w:rFonts w:ascii="Calibri" w:cs="Calibri" w:eastAsia="Calibri" w:hAnsi="Calibri"/>
          <w:color w:val="2B2E31"/>
          <w:sz w:val="20"/>
          <w:szCs w:val="20"/>
        </w:rPr>
        <w:t xml:space="preserve">Revisit once three engagements have closed, at which point you will have evidence on which framing is actually converting rather than an argument about which should. If the AI framing wins every time, the general version becomes the variant. If it never gets used, retire it.</w:t>
      </w:r>
    </w:p>
    <w:p>
      <w:r>
        <w:br w:type="page"/>
      </w:r>
    </w:p>
    <w:p>
      <w:pPr>
        <w:pStyle w:val="Heading1"/>
        <w:pBdr>
          <w:bottom w:val="single" w:color="C9D2D8" w:sz="8" w:space="4"/>
        </w:pBdr>
        <w:spacing w:after="140" w:before="320"/>
      </w:pPr>
      <w:r>
        <w:rPr>
          <w:rFonts w:ascii="Calibri" w:cs="Calibri" w:eastAsia="Calibri" w:hAnsi="Calibri"/>
          <w:b/>
          <w:bCs/>
          <w:color w:val="1B2A3A"/>
          <w:sz w:val="26"/>
          <w:szCs w:val="26"/>
        </w:rPr>
        <w:t xml:space="preserve">3. The offering ladder</w:t>
      </w:r>
    </w:p>
    <w:p>
      <w:pPr>
        <w:pStyle w:val="Heading2"/>
        <w:spacing w:after="100" w:before="240"/>
      </w:pPr>
      <w:r>
        <w:rPr>
          <w:rFonts w:ascii="Calibri" w:cs="Calibri" w:eastAsia="Calibri" w:hAnsi="Calibri"/>
          <w:b/>
          <w:bCs/>
          <w:color w:val="1B2A3A"/>
          <w:sz w:val="22"/>
          <w:szCs w:val="22"/>
        </w:rPr>
        <w:t xml:space="preserve">3.0 The front door rule</w:t>
      </w:r>
    </w:p>
    <w:p>
      <w:pPr>
        <w:spacing w:after="120" w:before="0" w:line="264"/>
      </w:pPr>
      <w:r>
        <w:rPr>
          <w:rFonts w:ascii="Calibri" w:cs="Calibri" w:eastAsia="Calibri" w:hAnsi="Calibri"/>
          <w:color w:val="2B2E31"/>
          <w:sz w:val="20"/>
          <w:szCs w:val="20"/>
        </w:rPr>
        <w:t xml:space="preserve">Four offerings remain. One is marketed. This is the single structural change to how the ladder is presented, and it is the fix for the diluted wedge.</w:t>
      </w:r>
    </w:p>
    <w:p>
      <w:pPr>
        <w:pStyle w:val="ListParagraph"/>
        <w:numPr>
          <w:ilvl w:val="0"/>
          <w:numId w:val="2"/>
        </w:numPr>
        <w:spacing w:after="70" w:line="260"/>
      </w:pPr>
      <w:r>
        <w:rPr>
          <w:rFonts w:ascii="Calibri" w:cs="Calibri" w:eastAsia="Calibri" w:hAnsi="Calibri"/>
          <w:b/>
          <w:bCs/>
          <w:color w:val="2B2E31"/>
          <w:sz w:val="20"/>
          <w:szCs w:val="20"/>
        </w:rPr>
        <w:t xml:space="preserve">Marketed: </w:t>
      </w:r>
      <w:r>
        <w:rPr>
          <w:rFonts w:ascii="Calibri" w:cs="Calibri" w:eastAsia="Calibri" w:hAnsi="Calibri"/>
          <w:color w:val="2B2E31"/>
          <w:sz w:val="20"/>
          <w:szCs w:val="20"/>
        </w:rPr>
        <w:t xml:space="preserve">P1 Operating Model Diagnostic. This is the offer that appears on the handout, in the LinkedIn profile, in the one line positioning, and in every first conversation. It is the answer to "what do you do."</w:t>
      </w:r>
    </w:p>
    <w:p>
      <w:pPr>
        <w:pStyle w:val="ListParagraph"/>
        <w:numPr>
          <w:ilvl w:val="0"/>
          <w:numId w:val="2"/>
        </w:numPr>
        <w:spacing w:after="70" w:line="260"/>
      </w:pPr>
      <w:r>
        <w:rPr>
          <w:rFonts w:ascii="Calibri" w:cs="Calibri" w:eastAsia="Calibri" w:hAnsi="Calibri"/>
          <w:b/>
          <w:bCs/>
          <w:color w:val="2B2E31"/>
          <w:sz w:val="20"/>
          <w:szCs w:val="20"/>
        </w:rPr>
        <w:t xml:space="preserve">Not marketed, named: </w:t>
      </w:r>
      <w:r>
        <w:rPr>
          <w:rFonts w:ascii="Calibri" w:cs="Calibri" w:eastAsia="Calibri" w:hAnsi="Calibri"/>
          <w:color w:val="2B2E31"/>
          <w:sz w:val="20"/>
          <w:szCs w:val="20"/>
        </w:rPr>
        <w:t xml:space="preserve">P2, P3 and R appear as the sequenced consequences of diagnostic findings. They are visible so the buyer can see where this goes and so the fee credit makes sense, but they are never the opening pitch.</w:t>
      </w:r>
    </w:p>
    <w:p>
      <w:pPr>
        <w:pStyle w:val="ListParagraph"/>
        <w:numPr>
          <w:ilvl w:val="0"/>
          <w:numId w:val="2"/>
        </w:numPr>
        <w:spacing w:after="70" w:line="260"/>
      </w:pPr>
      <w:r>
        <w:rPr>
          <w:rFonts w:ascii="Calibri" w:cs="Calibri" w:eastAsia="Calibri" w:hAnsi="Calibri"/>
          <w:b/>
          <w:bCs/>
          <w:color w:val="2B2E31"/>
          <w:sz w:val="20"/>
          <w:szCs w:val="20"/>
        </w:rPr>
        <w:t xml:space="preserve">Practical test: </w:t>
      </w:r>
      <w:r>
        <w:rPr>
          <w:rFonts w:ascii="Calibri" w:cs="Calibri" w:eastAsia="Calibri" w:hAnsi="Calibri"/>
          <w:color w:val="2B2E31"/>
          <w:sz w:val="20"/>
          <w:szCs w:val="20"/>
        </w:rPr>
        <w:t xml:space="preserve">if a prospect asks what you offer and the honest answer requires describing four things, the positioning has failed. The honest answer should be one thing that leads to three.</w:t>
      </w:r>
    </w:p>
    <w:p>
      <w:pPr>
        <w:pBdr>
          <w:left w:val="single" w:color="1F8A82" w:sz="18" w:space="8"/>
        </w:pBdr>
        <w:shd w:fill="F0F4F5" w:color="auto" w:val="clear"/>
        <w:spacing w:after="140" w:before="100" w:line="264"/>
        <w:ind w:left="120" w:right="120"/>
      </w:pPr>
      <w:r>
        <w:rPr>
          <w:rFonts w:ascii="Calibri" w:cs="Calibri" w:eastAsia="Calibri" w:hAnsi="Calibri"/>
          <w:b/>
          <w:bCs/>
          <w:color w:val="2B2E31"/>
          <w:sz w:val="19"/>
          <w:szCs w:val="19"/>
        </w:rPr>
        <w:t xml:space="preserve">Codes and names, decided. </w:t>
      </w:r>
      <w:r>
        <w:rPr>
          <w:rFonts w:ascii="Calibri" w:cs="Calibri" w:eastAsia="Calibri" w:hAnsi="Calibri"/>
          <w:color w:val="2B2E31"/>
          <w:sz w:val="19"/>
          <w:szCs w:val="19"/>
        </w:rPr>
        <w:t xml:space="preserve">The P series codes are retained: P1, P2, P3 and R, unchanged from the existing playbooks and the tracker taxonomy. The A series renaming floated in v0.1 is dropped, because the relabelling cost across four playbooks and the tracker is real and the codes were never the problem. Display names are also unchanged except P2, which becomes Team and Capacity Alignment. That one rename is not cosmetic: "Augmented" is AI inherited language and it breaks the moment the trigger is a cloud migration, a carve out or an integration, which is the whole point of section 2.4.</w:t>
      </w:r>
    </w:p>
    <w:p>
      <w:pPr>
        <w:pStyle w:val="Heading2"/>
        <w:spacing w:after="100" w:before="240"/>
      </w:pPr>
      <w:r>
        <w:rPr>
          <w:rFonts w:ascii="Calibri" w:cs="Calibri" w:eastAsia="Calibri" w:hAnsi="Calibri"/>
          <w:b/>
          <w:bCs/>
          <w:color w:val="1B2A3A"/>
          <w:sz w:val="22"/>
          <w:szCs w:val="22"/>
        </w:rPr>
        <w:t xml:space="preserve">3.1  P1  |  Operating Model Diagnostic</w:t>
      </w:r>
    </w:p>
    <w:p>
      <w:pPr>
        <w:spacing w:after="120" w:before="0" w:line="264"/>
      </w:pPr>
      <w:r>
        <w:rPr>
          <w:rFonts w:ascii="Calibri" w:cs="Calibri" w:eastAsia="Calibri" w:hAnsi="Calibri"/>
          <w:b/>
          <w:bCs/>
          <w:color w:val="1F8A82"/>
          <w:sz w:val="19"/>
          <w:szCs w:val="19"/>
        </w:rPr>
        <w:t xml:space="preserve">THE FRONT DOOR. The only offering marketed on its own.</w:t>
      </w:r>
    </w:p>
    <w:tbl>
      <w:tblPr>
        <w:tblW w:type="dxa" w:w="9360"/>
        <w:tblBorders>
          <w:top w:val="single" w:color="C9D2D8" w:sz="4"/>
          <w:left w:val="single" w:color="C9D2D8" w:sz="4"/>
          <w:bottom w:val="single" w:color="C9D2D8" w:sz="4"/>
          <w:right w:val="single" w:color="C9D2D8" w:sz="4"/>
          <w:insideH w:val="single" w:color="C9D2D8" w:sz="4"/>
          <w:insideV w:val="single" w:color="C9D2D8" w:sz="4"/>
        </w:tblBorders>
      </w:tblPr>
      <w:tblGrid>
        <w:gridCol w:w="1750"/>
        <w:gridCol w:w="7610"/>
      </w:tblGrid>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Buyer</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The executive accountable for a funded change program that is not converting into outcomes.</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Trigger</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Any of the eight contexts in 2.4. Sharpest when a specific investment has landed and the results have not, or when a named deadline is approaching and delivery confidence is falling.</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The named problem</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"We have funded this and we are not getting it, and we cannot tell you whether the problem is the plan, the people, or the structure."</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What the client gets</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A scored assessment across the eight alignment dimensions, a prioritized intervention roadmap sequenced by dependency rather than by ease, an explicit cost of inaction framing for the top three gaps, and a readout built to be presented to their own leadership without translation.</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Duration</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Four to six weeks. Fixed scope, fixed deliverable set, fixed end date.</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Pricing</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Flat fixed fee, published, effort independent. Fully credited against P2, P3, or the first two months of R if commissioned within the credit window. Mechanics in 4.2.</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Where it leads</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The roadmap names which of P2, P3 or R the findings call for, with a recommended sequence. The diagnostic is genuinely useful standalone, and it is also the qualification instrument for everything above it.</w:t>
            </w:r>
          </w:p>
        </w:tc>
      </w:tr>
    </w:tbl>
    <w:p>
      <w:pPr>
        <w:spacing w:after="100"/>
      </w:pPr>
      <w:r>
        <w:rPr>
          <w:sz w:val="2"/>
          <w:szCs w:val="2"/>
        </w:rPr>
        <w:t xml:space="preserve"/>
      </w:r>
    </w:p>
    <w:p>
      <w:pPr>
        <w:spacing w:after="120" w:before="0" w:line="264"/>
      </w:pPr>
      <w:r>
        <w:rPr>
          <w:rFonts w:ascii="Calibri" w:cs="Calibri" w:eastAsia="Calibri" w:hAnsi="Calibri"/>
          <w:b/>
          <w:bCs/>
          <w:color w:val="2B2E31"/>
          <w:sz w:val="20"/>
          <w:szCs w:val="20"/>
        </w:rPr>
        <w:t xml:space="preserve">Why this is the front door. </w:t>
      </w:r>
      <w:r>
        <w:rPr>
          <w:rFonts w:ascii="Calibri" w:cs="Calibri" w:eastAsia="Calibri" w:hAnsi="Calibri"/>
          <w:color w:val="2B2E31"/>
          <w:sz w:val="20"/>
          <w:szCs w:val="20"/>
        </w:rPr>
        <w:t xml:space="preserve">It is the lowest risk thing a senior buyer can say yes to, it is the only offering that can be honestly priced flat, it produces the proof and the case study material the practice needs, and it converts a vague structural worry into a scored document with a sequence attached. It also matches how you already describe yourself: a clinician who diagnoses readiness. Lead with the diagnosis.</w:t>
      </w:r>
    </w:p>
    <w:p>
      <w:pPr>
        <w:pStyle w:val="Heading2"/>
        <w:spacing w:after="100" w:before="240"/>
      </w:pPr>
      <w:r>
        <w:rPr>
          <w:rFonts w:ascii="Calibri" w:cs="Calibri" w:eastAsia="Calibri" w:hAnsi="Calibri"/>
          <w:b/>
          <w:bCs/>
          <w:color w:val="1B2A3A"/>
          <w:sz w:val="22"/>
          <w:szCs w:val="22"/>
        </w:rPr>
        <w:t xml:space="preserve">3.2  P2  |  Team and Capacity Alignment     (renamed from Augmented Team Design)</w:t>
      </w:r>
    </w:p>
    <w:p>
      <w:pPr>
        <w:spacing w:after="120" w:before="0" w:line="264"/>
      </w:pPr>
      <w:r>
        <w:rPr>
          <w:rFonts w:ascii="Calibri" w:cs="Calibri" w:eastAsia="Calibri" w:hAnsi="Calibri"/>
          <w:b/>
          <w:bCs/>
          <w:color w:val="5B6B79"/>
          <w:sz w:val="19"/>
          <w:szCs w:val="19"/>
        </w:rPr>
        <w:t xml:space="preserve">EXPANSION PATH. Named, not marketed. The repeatable unit.</w:t>
      </w:r>
    </w:p>
    <w:tbl>
      <w:tblPr>
        <w:tblW w:type="dxa" w:w="9360"/>
        <w:tblBorders>
          <w:top w:val="single" w:color="C9D2D8" w:sz="4"/>
          <w:left w:val="single" w:color="C9D2D8" w:sz="4"/>
          <w:bottom w:val="single" w:color="C9D2D8" w:sz="4"/>
          <w:right w:val="single" w:color="C9D2D8" w:sz="4"/>
          <w:insideH w:val="single" w:color="C9D2D8" w:sz="4"/>
          <w:insideV w:val="single" w:color="C9D2D8" w:sz="4"/>
        </w:tblBorders>
      </w:tblPr>
      <w:tblGrid>
        <w:gridCol w:w="1750"/>
        <w:gridCol w:w="7610"/>
      </w:tblGrid>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Buyer</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The platform, engineering or delivery leader whose teams are absorbing new capability with no resourcing model behind it.</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Trigger</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Squads expected to absorb new tooling, a new mandate, or new scope inside existing capacity. A headcount freeze sharpens the case considerably, because capacity has to be found structurally rather than hired.</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The named problem</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"We keep adding to teams that have no room, and we cannot see where the capacity is supposed to come from."</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What the client gets</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Squad structures with explicitly budgeted capacity for the new capability alongside existing work, the handoff model between human and automated or augmented work, the governance requirements a regulated environment imposes on that handoff, and a per squad capacity model the client can apply themselves to the next tranche.</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Duration</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Pilot tranche of two to three squads, then repeats across the portfolio.</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Pricing</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Fixed fee per tranche, not per squad and not per day. Repeat tranches priced at the same fixed fee, which makes this the most predictable revenue line in the ladder. See 4.4.</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Where it leads</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Tranche repetition across the portfolio, or escalation into P3 when the tranche work shows the constraint sits above team level.</w:t>
            </w:r>
          </w:p>
        </w:tc>
      </w:tr>
    </w:tbl>
    <w:p>
      <w:pPr>
        <w:spacing w:after="100"/>
      </w:pPr>
      <w:r>
        <w:rPr>
          <w:sz w:val="2"/>
          <w:szCs w:val="2"/>
        </w:rPr>
        <w:t xml:space="preserve"/>
      </w:r>
    </w:p>
    <w:p>
      <w:pPr>
        <w:spacing w:after="120" w:before="0" w:line="264"/>
      </w:pPr>
      <w:r>
        <w:rPr>
          <w:rFonts w:ascii="Calibri" w:cs="Calibri" w:eastAsia="Calibri" w:hAnsi="Calibri"/>
          <w:b/>
          <w:bCs/>
          <w:color w:val="2B2E31"/>
          <w:sz w:val="20"/>
          <w:szCs w:val="20"/>
        </w:rPr>
        <w:t xml:space="preserve">Rename note, the one display name change in this draft. </w:t>
      </w:r>
      <w:r>
        <w:rPr>
          <w:rFonts w:ascii="Calibri" w:cs="Calibri" w:eastAsia="Calibri" w:hAnsi="Calibri"/>
          <w:color w:val="2B2E31"/>
          <w:sz w:val="20"/>
          <w:szCs w:val="20"/>
        </w:rPr>
        <w:t xml:space="preserve">"Augmented" was AI inherited language and it does not survive a non AI trigger. "Team and Capacity Alignment" says what the work is in any context, and "capacity" is the word the buyer actually uses when describing the pain. This rename requires updating the P2 playbook title and the tracker's service line label, and nothing else.</w:t>
      </w:r>
    </w:p>
    <w:p>
      <w:pPr>
        <w:pStyle w:val="Heading2"/>
        <w:spacing w:after="100" w:before="240"/>
      </w:pPr>
      <w:r>
        <w:rPr>
          <w:rFonts w:ascii="Calibri" w:cs="Calibri" w:eastAsia="Calibri" w:hAnsi="Calibri"/>
          <w:b/>
          <w:bCs/>
          <w:color w:val="1B2A3A"/>
          <w:sz w:val="22"/>
          <w:szCs w:val="22"/>
        </w:rPr>
        <w:t xml:space="preserve">3.3  P3  |  Operating Model Redesign</w:t>
      </w:r>
    </w:p>
    <w:p>
      <w:pPr>
        <w:spacing w:after="120" w:before="0" w:line="264"/>
      </w:pPr>
      <w:r>
        <w:rPr>
          <w:rFonts w:ascii="Calibri" w:cs="Calibri" w:eastAsia="Calibri" w:hAnsi="Calibri"/>
          <w:b/>
          <w:bCs/>
          <w:color w:val="5B6B79"/>
          <w:sz w:val="19"/>
          <w:szCs w:val="19"/>
        </w:rPr>
        <w:t xml:space="preserve">EXPANSION PATH. Named, not marketed. The flagship program.</w:t>
      </w:r>
    </w:p>
    <w:tbl>
      <w:tblPr>
        <w:tblW w:type="dxa" w:w="9360"/>
        <w:tblBorders>
          <w:top w:val="single" w:color="C9D2D8" w:sz="4"/>
          <w:left w:val="single" w:color="C9D2D8" w:sz="4"/>
          <w:bottom w:val="single" w:color="C9D2D8" w:sz="4"/>
          <w:right w:val="single" w:color="C9D2D8" w:sz="4"/>
          <w:insideH w:val="single" w:color="C9D2D8" w:sz="4"/>
          <w:insideV w:val="single" w:color="C9D2D8" w:sz="4"/>
        </w:tblBorders>
      </w:tblPr>
      <w:tblGrid>
        <w:gridCol w:w="1750"/>
        <w:gridCol w:w="7610"/>
      </w:tblGrid>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Buyer</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Same as P1. The executive accountable for the outcome, now with a diagnostic in hand and a mandate to act on it.</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Trigger</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A transformation stalled at the operating model layer, a platform investment not returning, or a named mandate with no delivery model behind it. In practice: an accepted P1 roadmap with budget attached.</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The named problem</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"We know what is structurally wrong and we do not have the capacity or the neutrality to fix it ourselves."</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What the client gets</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The full structural intervention, scoped from diagnostic findings and delivered as a modular quarterly program. Modules drawn from: product model transition, platform as product turnaround, decision rights and governance architecture, portfolio consolidation design, and integration operating model. Advisory led personally. Delivery capacity through the curated execution network under a single accountable contract.</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Duration</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Quarterly program, typically two to four quarters, with a go or no go at each quarter boundary.</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Pricing</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Fixed fee per quarterly module, with the P1 fee credited against the first module. Not a day rate and not a time and materials program. See 4.4.</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Where it leads</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Either completion with handover to permanent owners, or conversion to R when the client concludes they need the seat held rather than the program run.</w:t>
            </w:r>
          </w:p>
        </w:tc>
      </w:tr>
    </w:tbl>
    <w:p>
      <w:pPr>
        <w:spacing w:after="100"/>
      </w:pPr>
      <w:r>
        <w:rPr>
          <w:sz w:val="2"/>
          <w:szCs w:val="2"/>
        </w:rPr>
        <w:t xml:space="preserve"/>
      </w:r>
    </w:p>
    <w:p>
      <w:pPr>
        <w:spacing w:after="120" w:before="0" w:line="264"/>
      </w:pPr>
      <w:r>
        <w:rPr>
          <w:rFonts w:ascii="Calibri" w:cs="Calibri" w:eastAsia="Calibri" w:hAnsi="Calibri"/>
          <w:b/>
          <w:bCs/>
          <w:color w:val="2B2E31"/>
          <w:sz w:val="20"/>
          <w:szCs w:val="20"/>
        </w:rPr>
        <w:t xml:space="preserve">Name retained, with one drafting caution. </w:t>
      </w:r>
      <w:r>
        <w:rPr>
          <w:rFonts w:ascii="Calibri" w:cs="Calibri" w:eastAsia="Calibri" w:hAnsi="Calibri"/>
          <w:color w:val="2B2E31"/>
          <w:sz w:val="20"/>
          <w:szCs w:val="20"/>
        </w:rPr>
        <w:t xml:space="preserve">P3 keeps Operating Model Redesign. Worth knowing that "redesign" implies a blank sheet, which overstates what these engagements actually do and can invite a bigger and slower scope conversation than the work requires. Nothing to change in the name; just avoid blank sheet language in the P3 proposal itself and describe the work as sequenced intervention against diagnostic findings.</w:t>
      </w:r>
    </w:p>
    <w:p>
      <w:pPr>
        <w:pStyle w:val="Heading2"/>
        <w:spacing w:after="100" w:before="240"/>
      </w:pPr>
      <w:r>
        <w:rPr>
          <w:rFonts w:ascii="Calibri" w:cs="Calibri" w:eastAsia="Calibri" w:hAnsi="Calibri"/>
          <w:b/>
          <w:bCs/>
          <w:color w:val="1B2A3A"/>
          <w:sz w:val="22"/>
          <w:szCs w:val="22"/>
        </w:rPr>
        <w:t xml:space="preserve">3.4  R  |  Fractional Transformation Executive</w:t>
      </w:r>
    </w:p>
    <w:p>
      <w:pPr>
        <w:spacing w:after="120" w:before="0" w:line="264"/>
      </w:pPr>
      <w:r>
        <w:rPr>
          <w:rFonts w:ascii="Calibri" w:cs="Calibri" w:eastAsia="Calibri" w:hAnsi="Calibri"/>
          <w:b/>
          <w:bCs/>
          <w:color w:val="5B6B79"/>
          <w:sz w:val="19"/>
          <w:szCs w:val="19"/>
        </w:rPr>
        <w:t xml:space="preserve">EXPANSION PATH. Named, not marketed. The repriced mode.</w:t>
      </w:r>
    </w:p>
    <w:tbl>
      <w:tblPr>
        <w:tblW w:type="dxa" w:w="9360"/>
        <w:tblBorders>
          <w:top w:val="single" w:color="C9D2D8" w:sz="4"/>
          <w:left w:val="single" w:color="C9D2D8" w:sz="4"/>
          <w:bottom w:val="single" w:color="C9D2D8" w:sz="4"/>
          <w:right w:val="single" w:color="C9D2D8" w:sz="4"/>
          <w:insideH w:val="single" w:color="C9D2D8" w:sz="4"/>
          <w:insideV w:val="single" w:color="C9D2D8" w:sz="4"/>
        </w:tblBorders>
      </w:tblPr>
      <w:tblGrid>
        <w:gridCol w:w="1750"/>
        <w:gridCol w:w="7610"/>
      </w:tblGrid>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Buyer</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The CEO, CTO, COO or board member who owns a transformation mandate with no senior owner in the seat, or who has an interim gap in platform or technology leadership.</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Trigger</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A mandate with nobody credible to run it, a departure at the transformation leadership level, or a realignment that needs to be driven from inside the leadership team rather than advised from outside it.</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The named problem</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"We need this judgment in the room when the decisions are made, and we are not going to find, hire and onboard a permanent executive in time."</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What the client gets</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A standing seat. Named recurring forums attended as a member rather than as a visitor, on call judgment between those forums, a monthly written alignment review, and a defined transition of the work to the permanent owner who inherits it.</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Duration</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Minimum three month initial term, then month to month. Six to twelve months typical. Capped by design, with the successor transition scoped in from the start.</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Pricing</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Flat monthly access fee with a capped day envelope. The client buys access, judgment and accountability, not days delivered. Full mechanics in 4.3. This is the material pricing change in this draft.</w:t>
            </w:r>
          </w:p>
        </w:tc>
      </w:tr>
      <w:tr>
        <w:tc>
          <w:tcPr>
            <w:tcW w:type="dxa" w:w="175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Where it leads</w:t>
            </w:r>
          </w:p>
        </w:tc>
        <w:tc>
          <w:tcPr>
            <w:tcW w:type="dxa" w:w="761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Successor transition and exit, or renewal at a revised envelope. Renewal should be a deliberate decision, not a default.</w:t>
            </w:r>
          </w:p>
        </w:tc>
      </w:tr>
    </w:tbl>
    <w:p>
      <w:pPr>
        <w:spacing w:after="100"/>
      </w:pPr>
      <w:r>
        <w:rPr>
          <w:sz w:val="2"/>
          <w:szCs w:val="2"/>
        </w:rPr>
        <w:t xml:space="preserve"/>
      </w:r>
    </w:p>
    <w:p>
      <w:pPr>
        <w:spacing w:after="120" w:before="0" w:line="264"/>
      </w:pPr>
      <w:r>
        <w:rPr>
          <w:rFonts w:ascii="Calibri" w:cs="Calibri" w:eastAsia="Calibri" w:hAnsi="Calibri"/>
          <w:b/>
          <w:bCs/>
          <w:color w:val="2B2E31"/>
          <w:sz w:val="20"/>
          <w:szCs w:val="20"/>
        </w:rPr>
        <w:t xml:space="preserve">Positioning guardrail carried forward. </w:t>
      </w:r>
      <w:r>
        <w:rPr>
          <w:rFonts w:ascii="Calibri" w:cs="Calibri" w:eastAsia="Calibri" w:hAnsi="Calibri"/>
          <w:color w:val="2B2E31"/>
          <w:sz w:val="20"/>
          <w:szCs w:val="20"/>
        </w:rPr>
        <w:t xml:space="preserve">No "Owner" language anywhere in this offering. The engagement is explicitly temporary and includes training the permanent operator who inherits the model, and the successor transition is a named deliverable rather than an exit conversation.</w:t>
      </w:r>
    </w:p>
    <w:p>
      <w:pPr>
        <w:spacing w:after="60"/>
      </w:pPr>
      <w:r>
        <w:rPr>
          <w:sz w:val="2"/>
          <w:szCs w:val="2"/>
        </w:rPr>
        <w:t xml:space="preserve"/>
      </w:r>
    </w:p>
    <w:p>
      <w:pPr>
        <w:pBdr>
          <w:left w:val="single" w:color="A6791A" w:sz="18" w:space="8"/>
        </w:pBdr>
        <w:shd w:fill="FBF6E9" w:color="auto" w:val="clear"/>
        <w:spacing w:after="140" w:before="100" w:line="264"/>
        <w:ind w:left="120" w:right="120"/>
      </w:pPr>
      <w:r>
        <w:rPr>
          <w:rFonts w:ascii="Calibri" w:cs="Calibri" w:eastAsia="Calibri" w:hAnsi="Calibri"/>
          <w:b/>
          <w:bCs/>
          <w:color w:val="2B2E31"/>
          <w:sz w:val="19"/>
          <w:szCs w:val="19"/>
        </w:rPr>
        <w:t xml:space="preserve">Naming tension worth knowing about, no action required. </w:t>
      </w:r>
      <w:r>
        <w:rPr>
          <w:rFonts w:ascii="Calibri" w:cs="Calibri" w:eastAsia="Calibri" w:hAnsi="Calibri"/>
          <w:color w:val="2B2E31"/>
          <w:sz w:val="19"/>
          <w:szCs w:val="19"/>
        </w:rPr>
        <w:t xml:space="preserve">R keeps Fractional Transformation Executive. Two small frictions come with that. First, the market reads "fractional" as a fraction of a person's time, which is exactly the day rate mental model that 4.3 is designed to break, so the offer document has to do that work in the pricing section rather than relying on the title. Second, "Transformation" in the offering name sits slightly against "Alignment" in the practice name. Neither is worth a rename now. Both are worth revisiting if the access based pricing meets resistance in the first two or three conversations, because the title may be part of the reason.</w:t>
      </w:r>
    </w:p>
    <w:p>
      <w:r>
        <w:br w:type="page"/>
      </w:r>
    </w:p>
    <w:p>
      <w:pPr>
        <w:pStyle w:val="Heading1"/>
        <w:pBdr>
          <w:bottom w:val="single" w:color="C9D2D8" w:sz="8" w:space="4"/>
        </w:pBdr>
        <w:spacing w:after="140" w:before="320"/>
      </w:pPr>
      <w:r>
        <w:rPr>
          <w:rFonts w:ascii="Calibri" w:cs="Calibri" w:eastAsia="Calibri" w:hAnsi="Calibri"/>
          <w:b/>
          <w:bCs/>
          <w:color w:val="1B2A3A"/>
          <w:sz w:val="26"/>
          <w:szCs w:val="26"/>
        </w:rPr>
        <w:t xml:space="preserve">4. Pricing architecture</w:t>
      </w:r>
    </w:p>
    <w:p>
      <w:pPr>
        <w:pStyle w:val="Heading2"/>
        <w:spacing w:after="100" w:before="240"/>
      </w:pPr>
      <w:r>
        <w:rPr>
          <w:rFonts w:ascii="Calibri" w:cs="Calibri" w:eastAsia="Calibri" w:hAnsi="Calibri"/>
          <w:b/>
          <w:bCs/>
          <w:color w:val="1B2A3A"/>
          <w:sz w:val="22"/>
          <w:szCs w:val="22"/>
        </w:rPr>
        <w:t xml:space="preserve">4.1 Principles</w:t>
      </w:r>
    </w:p>
    <w:p>
      <w:pPr>
        <w:pStyle w:val="ListParagraph"/>
        <w:numPr>
          <w:ilvl w:val="0"/>
          <w:numId w:val="3"/>
        </w:numPr>
        <w:spacing w:after="90" w:line="260"/>
      </w:pPr>
      <w:r>
        <w:rPr>
          <w:rFonts w:ascii="Calibri" w:cs="Calibri" w:eastAsia="Calibri" w:hAnsi="Calibri"/>
          <w:color w:val="2B2E31"/>
          <w:sz w:val="20"/>
          <w:szCs w:val="20"/>
        </w:rPr>
        <w:t xml:space="preserve">No hourly rates and no day rates in any client facing document. The hourly baseline remains the internal floor calculation only. A rate the client can see is a rate the client can negotiate down, and it invites them to price your time rather than the outcome.</w:t>
      </w:r>
    </w:p>
    <w:p>
      <w:pPr>
        <w:pStyle w:val="ListParagraph"/>
        <w:numPr>
          <w:ilvl w:val="0"/>
          <w:numId w:val="3"/>
        </w:numPr>
        <w:spacing w:after="90" w:line="260"/>
      </w:pPr>
      <w:r>
        <w:rPr>
          <w:rFonts w:ascii="Calibri" w:cs="Calibri" w:eastAsia="Calibri" w:hAnsi="Calibri"/>
          <w:color w:val="2B2E31"/>
          <w:sz w:val="20"/>
          <w:szCs w:val="20"/>
        </w:rPr>
        <w:t xml:space="preserve">Every offering is a fixed fee or a flat monthly fee. Scope is what varies, and scope changes are a new fixed fee, not an overage invoice.</w:t>
      </w:r>
    </w:p>
    <w:p>
      <w:pPr>
        <w:pStyle w:val="ListParagraph"/>
        <w:numPr>
          <w:ilvl w:val="0"/>
          <w:numId w:val="3"/>
        </w:numPr>
        <w:spacing w:after="90" w:line="260"/>
      </w:pPr>
      <w:r>
        <w:rPr>
          <w:rFonts w:ascii="Calibri" w:cs="Calibri" w:eastAsia="Calibri" w:hAnsi="Calibri"/>
          <w:color w:val="2B2E31"/>
          <w:sz w:val="20"/>
          <w:szCs w:val="20"/>
        </w:rPr>
        <w:t xml:space="preserve">The retainer prices access, not delivery. The day envelope exists to protect you from unbounded demand, not to meter what the client is buying.</w:t>
      </w:r>
    </w:p>
    <w:p>
      <w:pPr>
        <w:pStyle w:val="ListParagraph"/>
        <w:numPr>
          <w:ilvl w:val="0"/>
          <w:numId w:val="3"/>
        </w:numPr>
        <w:spacing w:after="90" w:line="260"/>
      </w:pPr>
      <w:r>
        <w:rPr>
          <w:rFonts w:ascii="Calibri" w:cs="Calibri" w:eastAsia="Calibri" w:hAnsi="Calibri"/>
          <w:color w:val="2B2E31"/>
          <w:sz w:val="20"/>
          <w:szCs w:val="20"/>
        </w:rPr>
        <w:t xml:space="preserve">The entry fee is credited forward. Making the front door low risk is worth more than the front door revenue.</w:t>
      </w:r>
    </w:p>
    <w:p>
      <w:pPr>
        <w:pStyle w:val="ListParagraph"/>
        <w:numPr>
          <w:ilvl w:val="0"/>
          <w:numId w:val="3"/>
        </w:numPr>
        <w:spacing w:after="90" w:line="260"/>
      </w:pPr>
      <w:r>
        <w:rPr>
          <w:rFonts w:ascii="Calibri" w:cs="Calibri" w:eastAsia="Calibri" w:hAnsi="Calibri"/>
          <w:color w:val="2B2E31"/>
          <w:sz w:val="20"/>
          <w:szCs w:val="20"/>
        </w:rPr>
        <w:t xml:space="preserve">Every fee has a floor traceable to the sourced hourly baseline, and a premium above it that reflects what the structure is actually worth to the buyer. The floor protects you. The premium is the business model.</w:t>
      </w:r>
    </w:p>
    <w:p>
      <w:pPr>
        <w:pStyle w:val="Heading2"/>
        <w:spacing w:after="100" w:before="240"/>
      </w:pPr>
      <w:r>
        <w:rPr>
          <w:rFonts w:ascii="Calibri" w:cs="Calibri" w:eastAsia="Calibri" w:hAnsi="Calibri"/>
          <w:b/>
          <w:bCs/>
          <w:color w:val="1B2A3A"/>
          <w:sz w:val="22"/>
          <w:szCs w:val="22"/>
        </w:rPr>
        <w:t xml:space="preserve">4.2 P1 Operating Model Diagnostic: flat fixed fee, credited forward</w:t>
      </w:r>
    </w:p>
    <w:p>
      <w:pPr>
        <w:spacing w:after="120" w:before="0" w:line="264"/>
      </w:pPr>
      <w:r>
        <w:rPr>
          <w:rFonts w:ascii="Calibri" w:cs="Calibri" w:eastAsia="Calibri" w:hAnsi="Calibri"/>
          <w:color w:val="2B2E31"/>
          <w:sz w:val="20"/>
          <w:szCs w:val="20"/>
        </w:rPr>
        <w:t xml:space="preserve">Mechanics, stated tightly enough to go into a one page offer document without further decisions.</w:t>
      </w:r>
    </w:p>
    <w:tbl>
      <w:tblPr>
        <w:tblW w:type="dxa" w:w="9360"/>
        <w:tblBorders>
          <w:top w:val="single" w:color="C9D2D8" w:sz="4"/>
          <w:left w:val="single" w:color="C9D2D8" w:sz="4"/>
          <w:bottom w:val="single" w:color="C9D2D8" w:sz="4"/>
          <w:right w:val="single" w:color="C9D2D8" w:sz="4"/>
          <w:insideH w:val="single" w:color="C9D2D8" w:sz="4"/>
          <w:insideV w:val="single" w:color="C9D2D8" w:sz="4"/>
        </w:tblBorders>
      </w:tblPr>
      <w:tblGrid>
        <w:gridCol w:w="2300"/>
        <w:gridCol w:w="7060"/>
      </w:tblGrid>
      <w:tr>
        <w:tc>
          <w:tcPr>
            <w:tcW w:type="dxa" w:w="23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Structure</w:t>
            </w:r>
          </w:p>
        </w:tc>
        <w:tc>
          <w:tcPr>
            <w:tcW w:type="dxa" w:w="70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One published fixed fee. Identical whether the assessment takes three weeks or six, and whether it covers two business units or four. Scope is defined by organizational boundary, agreed before signature.</w:t>
            </w:r>
          </w:p>
        </w:tc>
      </w:tr>
      <w:tr>
        <w:tc>
          <w:tcPr>
            <w:tcW w:type="dxa" w:w="23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Payment</w:t>
            </w:r>
          </w:p>
        </w:tc>
        <w:tc>
          <w:tcPr>
            <w:tcW w:type="dxa" w:w="70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Fifty percent on signature, fifty percent on readout delivery.</w:t>
            </w:r>
          </w:p>
        </w:tc>
      </w:tr>
      <w:tr>
        <w:tc>
          <w:tcPr>
            <w:tcW w:type="dxa" w:w="23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The credit</w:t>
            </w:r>
          </w:p>
        </w:tc>
        <w:tc>
          <w:tcPr>
            <w:tcW w:type="dxa" w:w="70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One hundred percent of the P1 fee is credited against P2, P3 or the first two months of R, if the follow on engagement is commissioned within a defined credit window of the readout. Recommended window: sixty days. Long enough to clear an internal funding cycle, short enough to create a reason to move.</w:t>
            </w:r>
          </w:p>
        </w:tc>
      </w:tr>
      <w:tr>
        <w:tc>
          <w:tcPr>
            <w:tcW w:type="dxa" w:w="23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Why full credit</w:t>
            </w:r>
          </w:p>
        </w:tc>
        <w:tc>
          <w:tcPr>
            <w:tcW w:type="dxa" w:w="70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A partial credit reads as a discount and invites negotiation on the discount. A full credit reframes the diagnostic as the first phase of the larger engagement, which is what it actually is, and makes the yes almost free at the point where the buyer's risk perception is highest.</w:t>
            </w:r>
          </w:p>
        </w:tc>
      </w:tr>
      <w:tr>
        <w:tc>
          <w:tcPr>
            <w:tcW w:type="dxa" w:w="23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Scope protection</w:t>
            </w:r>
          </w:p>
        </w:tc>
        <w:tc>
          <w:tcPr>
            <w:tcW w:type="dxa" w:w="70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Fixed deliverable list, fixed number of stakeholder interviews, fixed number of readout sessions. Additional business units or additional readouts are a separate fixed fee, quoted before work starts.</w:t>
            </w:r>
          </w:p>
        </w:tc>
      </w:tr>
      <w:tr>
        <w:tc>
          <w:tcPr>
            <w:tcW w:type="dxa" w:w="23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What this replaces</w:t>
            </w:r>
          </w:p>
        </w:tc>
        <w:tc>
          <w:tcPr>
            <w:tcW w:type="dxa" w:w="70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Effort derived pricing on a four to six week scope. The buyer conversation stops being about weeks and hours and becomes about organizational boundary, which is a scoping conversation you control.</w:t>
            </w:r>
          </w:p>
        </w:tc>
      </w:tr>
    </w:tbl>
    <w:p>
      <w:pPr>
        <w:pStyle w:val="Heading2"/>
        <w:spacing w:after="100" w:before="240"/>
      </w:pPr>
      <w:r>
        <w:rPr>
          <w:rFonts w:ascii="Calibri" w:cs="Calibri" w:eastAsia="Calibri" w:hAnsi="Calibri"/>
          <w:b/>
          <w:bCs/>
          <w:color w:val="1B2A3A"/>
          <w:sz w:val="22"/>
          <w:szCs w:val="22"/>
        </w:rPr>
        <w:t xml:space="preserve">4.3 R Fractional Transformation Executive: monthly access fee, capped envelope</w:t>
      </w:r>
    </w:p>
    <w:p>
      <w:pPr>
        <w:spacing w:after="120" w:before="0" w:line="264"/>
      </w:pPr>
      <w:r>
        <w:rPr>
          <w:rFonts w:ascii="Calibri" w:cs="Calibri" w:eastAsia="Calibri" w:hAnsi="Calibri"/>
          <w:color w:val="2B2E31"/>
          <w:sz w:val="20"/>
          <w:szCs w:val="20"/>
        </w:rPr>
        <w:t xml:space="preserve">This is the change with real consequences. It moves the retainer from a metered day rate to a flat monthly access fee, which is what decouples practice revenue from your personal hour ceiling.</w:t>
      </w:r>
    </w:p>
    <w:tbl>
      <w:tblPr>
        <w:tblW w:type="dxa" w:w="9360"/>
        <w:tblBorders>
          <w:top w:val="single" w:color="C9D2D8" w:sz="4"/>
          <w:left w:val="single" w:color="C9D2D8" w:sz="4"/>
          <w:bottom w:val="single" w:color="C9D2D8" w:sz="4"/>
          <w:right w:val="single" w:color="C9D2D8" w:sz="4"/>
          <w:insideH w:val="single" w:color="C9D2D8" w:sz="4"/>
          <w:insideV w:val="single" w:color="C9D2D8" w:sz="4"/>
        </w:tblBorders>
      </w:tblPr>
      <w:tblGrid>
        <w:gridCol w:w="2300"/>
        <w:gridCol w:w="7060"/>
      </w:tblGrid>
      <w:tr>
        <w:tc>
          <w:tcPr>
            <w:tcW w:type="dxa" w:w="23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Structure</w:t>
            </w:r>
          </w:p>
        </w:tc>
        <w:tc>
          <w:tcPr>
            <w:tcW w:type="dxa" w:w="70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A flat monthly fee. Not derived from days in the month, not adjusted for a light month or a heavy one, not invoiced against a timesheet.</w:t>
            </w:r>
          </w:p>
        </w:tc>
      </w:tr>
      <w:tr>
        <w:tc>
          <w:tcPr>
            <w:tcW w:type="dxa" w:w="23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What is included</w:t>
            </w:r>
          </w:p>
        </w:tc>
        <w:tc>
          <w:tcPr>
            <w:tcW w:type="dxa" w:w="70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Membership in a named set of recurring forums, agreed at signature and listed in the agreement. On call judgment between forums, with a committed response window on asynchronous questions and availability for scheduled calls inside that window. One written monthly alignment review. Direct access rather than access through a scheduling gate.</w:t>
            </w:r>
          </w:p>
        </w:tc>
      </w:tr>
      <w:tr>
        <w:tc>
          <w:tcPr>
            <w:tcW w:type="dxa" w:w="23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The envelope</w:t>
            </w:r>
          </w:p>
        </w:tc>
        <w:tc>
          <w:tcPr>
            <w:tcW w:type="dxa" w:w="70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A capped number of engaged days per month, stated in the agreement. Tracked by you, reported monthly for transparency, and explicitly not the basis of the invoice. The cap exists so that access does not become unbounded, which is the one real risk in flat monthly pricing.</w:t>
            </w:r>
          </w:p>
        </w:tc>
      </w:tr>
      <w:tr>
        <w:tc>
          <w:tcPr>
            <w:tcW w:type="dxa" w:w="23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Sustained overage</w:t>
            </w:r>
          </w:p>
        </w:tc>
        <w:tc>
          <w:tcPr>
            <w:tcW w:type="dxa" w:w="70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If actual engagement exceeds the envelope for two consecutive months, that triggers a tier conversation, not an overage invoice. Either the envelope moves up at a revised monthly fee, or the scope of the seat narrows. Never bill the overage, because billing it converts the whole arrangement back into a metered day rate in the client's mind.</w:t>
            </w:r>
          </w:p>
        </w:tc>
      </w:tr>
      <w:tr>
        <w:tc>
          <w:tcPr>
            <w:tcW w:type="dxa" w:w="23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Term</w:t>
            </w:r>
          </w:p>
        </w:tc>
        <w:tc>
          <w:tcPr>
            <w:tcW w:type="dxa" w:w="70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Three month minimum initial term, then month to month with thirty days notice. The minimum matters: it covers the period where you are absorbing context and producing least visible value, which is exactly when a monthly rolling arrangement is most likely to be cancelled for the wrong reason.</w:t>
            </w:r>
          </w:p>
        </w:tc>
      </w:tr>
      <w:tr>
        <w:tc>
          <w:tcPr>
            <w:tcW w:type="dxa" w:w="23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Successor transition</w:t>
            </w:r>
          </w:p>
        </w:tc>
        <w:tc>
          <w:tcPr>
            <w:tcW w:type="dxa" w:w="70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Named deliverable, not a wind down. The permanent owner is identified by an agreed point in the engagement and their readiness is part of the monthly review. This is the positioning commitment made concrete in the contract.</w:t>
            </w:r>
          </w:p>
        </w:tc>
      </w:tr>
      <w:tr>
        <w:tc>
          <w:tcPr>
            <w:tcW w:type="dxa" w:w="23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What this replaces</w:t>
            </w:r>
          </w:p>
        </w:tc>
        <w:tc>
          <w:tcPr>
            <w:tcW w:type="dxa" w:w="70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Two to two and a half days per week at an hourly derived rate. The client stops buying a fraction of a person and starts buying a seat with judgment attached.</w:t>
            </w:r>
          </w:p>
        </w:tc>
      </w:tr>
    </w:tbl>
    <w:p>
      <w:pPr>
        <w:spacing w:after="120"/>
      </w:pPr>
      <w:r>
        <w:rPr>
          <w:sz w:val="2"/>
          <w:szCs w:val="2"/>
        </w:rPr>
        <w:t xml:space="preserve"/>
      </w:r>
    </w:p>
    <w:p>
      <w:pPr>
        <w:pBdr>
          <w:left w:val="single" w:color="1F8A82" w:sz="18" w:space="8"/>
        </w:pBdr>
        <w:shd w:fill="F0F4F5" w:color="auto" w:val="clear"/>
        <w:spacing w:after="140" w:before="100" w:line="264"/>
        <w:ind w:left="120" w:right="120"/>
      </w:pPr>
      <w:r>
        <w:rPr>
          <w:rFonts w:ascii="Calibri" w:cs="Calibri" w:eastAsia="Calibri" w:hAnsi="Calibri"/>
          <w:b/>
          <w:bCs/>
          <w:color w:val="2B2E31"/>
          <w:sz w:val="19"/>
          <w:szCs w:val="19"/>
        </w:rPr>
        <w:t xml:space="preserve">Why this is not just relabelling. </w:t>
      </w:r>
      <w:r>
        <w:rPr>
          <w:rFonts w:ascii="Calibri" w:cs="Calibri" w:eastAsia="Calibri" w:hAnsi="Calibri"/>
          <w:color w:val="2B2E31"/>
          <w:sz w:val="19"/>
          <w:szCs w:val="19"/>
        </w:rPr>
        <w:t xml:space="preserve">Under day rate pricing, revenue is a linear function of your hours, so the practice ceiling is your calendar and the only growth lever is working more. Under access pricing, the fee reflects the value of having the judgment available, so two facts follow. First, a month where the client needs you less is not a month where you earn less. Second, the ceiling becomes the number of seats you can credibly hold at once, which is a structural constraint you can work on, rather than a number of hours, which you cannot.</w:t>
      </w:r>
    </w:p>
    <w:p>
      <w:pPr>
        <w:pStyle w:val="Heading2"/>
        <w:spacing w:after="100" w:before="240"/>
      </w:pPr>
      <w:r>
        <w:rPr>
          <w:rFonts w:ascii="Calibri" w:cs="Calibri" w:eastAsia="Calibri" w:hAnsi="Calibri"/>
          <w:b/>
          <w:bCs/>
          <w:color w:val="1B2A3A"/>
          <w:sz w:val="22"/>
          <w:szCs w:val="22"/>
        </w:rPr>
        <w:t xml:space="preserve">4.4 P2 and P3 pricing notes</w:t>
      </w:r>
    </w:p>
    <w:p>
      <w:pPr>
        <w:pStyle w:val="ListParagraph"/>
        <w:numPr>
          <w:ilvl w:val="0"/>
          <w:numId w:val="2"/>
        </w:numPr>
        <w:spacing w:after="70" w:line="260"/>
      </w:pPr>
      <w:r>
        <w:rPr>
          <w:rFonts w:ascii="Calibri" w:cs="Calibri" w:eastAsia="Calibri" w:hAnsi="Calibri"/>
          <w:b/>
          <w:bCs/>
          <w:color w:val="2B2E31"/>
          <w:sz w:val="20"/>
          <w:szCs w:val="20"/>
        </w:rPr>
        <w:t xml:space="preserve">P2, fixed fee per tranche. </w:t>
      </w:r>
      <w:r>
        <w:rPr>
          <w:rFonts w:ascii="Calibri" w:cs="Calibri" w:eastAsia="Calibri" w:hAnsi="Calibri"/>
          <w:color w:val="2B2E31"/>
          <w:sz w:val="20"/>
          <w:szCs w:val="20"/>
        </w:rPr>
        <w:t xml:space="preserve">Priced per tranche of two to three squads, not per squad, so the client cannot unbundle it into a per squad negotiation. Identical fee for repeat tranches, which makes the second and subsequent tranches almost frictionless to approve and makes this the most forecastable line in the ladder.</w:t>
      </w:r>
    </w:p>
    <w:p>
      <w:pPr>
        <w:pStyle w:val="ListParagraph"/>
        <w:numPr>
          <w:ilvl w:val="0"/>
          <w:numId w:val="2"/>
        </w:numPr>
        <w:spacing w:after="70" w:line="260"/>
      </w:pPr>
      <w:r>
        <w:rPr>
          <w:rFonts w:ascii="Calibri" w:cs="Calibri" w:eastAsia="Calibri" w:hAnsi="Calibri"/>
          <w:b/>
          <w:bCs/>
          <w:color w:val="2B2E31"/>
          <w:sz w:val="20"/>
          <w:szCs w:val="20"/>
        </w:rPr>
        <w:t xml:space="preserve">P3, fixed fee per quarterly module. </w:t>
      </w:r>
      <w:r>
        <w:rPr>
          <w:rFonts w:ascii="Calibri" w:cs="Calibri" w:eastAsia="Calibri" w:hAnsi="Calibri"/>
          <w:color w:val="2B2E31"/>
          <w:sz w:val="20"/>
          <w:szCs w:val="20"/>
        </w:rPr>
        <w:t xml:space="preserve">Each quarter is a separately priced module with a go or no go at the boundary. This keeps the total commitment psychologically small at each decision point while allowing a multi quarter program, and it prevents the fee conversation from ever becoming a total program number that has to clear a much higher approval threshold.</w:t>
      </w:r>
    </w:p>
    <w:p>
      <w:pPr>
        <w:pStyle w:val="ListParagraph"/>
        <w:numPr>
          <w:ilvl w:val="0"/>
          <w:numId w:val="2"/>
        </w:numPr>
        <w:spacing w:after="70" w:line="260"/>
      </w:pPr>
      <w:r>
        <w:rPr>
          <w:rFonts w:ascii="Calibri" w:cs="Calibri" w:eastAsia="Calibri" w:hAnsi="Calibri"/>
          <w:b/>
          <w:bCs/>
          <w:color w:val="2B2E31"/>
          <w:sz w:val="20"/>
          <w:szCs w:val="20"/>
        </w:rPr>
        <w:t xml:space="preserve">Execution network pass through. </w:t>
      </w:r>
      <w:r>
        <w:rPr>
          <w:rFonts w:ascii="Calibri" w:cs="Calibri" w:eastAsia="Calibri" w:hAnsi="Calibri"/>
          <w:color w:val="2B2E31"/>
          <w:sz w:val="20"/>
          <w:szCs w:val="20"/>
        </w:rPr>
        <w:t xml:space="preserve">Where delivery capacity comes through the network, it is quoted as a separate line at a stated margin, under the single accountable contract. Keep it visibly separate from the advisory fee so that scaling delivery never puts downward pressure on the advisory price.</w:t>
      </w:r>
    </w:p>
    <w:p>
      <w:pPr>
        <w:pStyle w:val="Heading2"/>
        <w:spacing w:after="100" w:before="240"/>
      </w:pPr>
      <w:r>
        <w:rPr>
          <w:rFonts w:ascii="Calibri" w:cs="Calibri" w:eastAsia="Calibri" w:hAnsi="Calibri"/>
          <w:b/>
          <w:bCs/>
          <w:color w:val="1B2A3A"/>
          <w:sz w:val="22"/>
          <w:szCs w:val="22"/>
        </w:rPr>
        <w:t xml:space="preserve">4.5 Internal fee derivation</w:t>
      </w:r>
    </w:p>
    <w:p>
      <w:pPr>
        <w:spacing w:after="120" w:before="0" w:line="264"/>
      </w:pPr>
      <w:r>
        <w:rPr>
          <w:rFonts w:ascii="Calibri" w:cs="Calibri" w:eastAsia="Calibri" w:hAnsi="Calibri"/>
          <w:color w:val="2B2E31"/>
          <w:sz w:val="20"/>
          <w:szCs w:val="20"/>
        </w:rPr>
        <w:t xml:space="preserve">Formulas only. No figures are proposed here, because every number in this practice traces to an external source before it is asserted, and these fee levels are yours to set. The one anchor already validated is the blended hourly baseline derived from the Government of Canada PSPC and TBIPS rate card with a regulated industry premium, cross checked against Procom and boutique network benchmarks. That anchor is used below strictly as a floor calculation, never as a client facing rate.</w:t>
      </w:r>
    </w:p>
    <w:tbl>
      <w:tblPr>
        <w:tblW w:type="dxa" w:w="9360"/>
        <w:tblBorders>
          <w:top w:val="single" w:color="C9D2D8" w:sz="4"/>
          <w:left w:val="single" w:color="C9D2D8" w:sz="4"/>
          <w:bottom w:val="single" w:color="C9D2D8" w:sz="4"/>
          <w:right w:val="single" w:color="C9D2D8" w:sz="4"/>
          <w:insideH w:val="single" w:color="C9D2D8" w:sz="4"/>
          <w:insideV w:val="single" w:color="C9D2D8" w:sz="4"/>
        </w:tblBorders>
      </w:tblPr>
      <w:tblGrid>
        <w:gridCol w:w="1400"/>
        <w:gridCol w:w="3200"/>
        <w:gridCol w:w="4760"/>
      </w:tblGrid>
      <w:tr>
        <w:trPr>
          <w:tblHeader/>
        </w:trPr>
        <w:tc>
          <w:tcPr>
            <w:tcW w:type="dxa" w:w="1400"/>
            <w:shd w:fill="EDF2F2" w:color="auto" w:val="clear"/>
            <w:tcMar>
              <w:top w:type="dxa" w:w="70"/>
              <w:left w:type="dxa" w:w="110"/>
              <w:bottom w:type="dxa" w:w="70"/>
              <w:right w:type="dxa" w:w="110"/>
            </w:tcMar>
          </w:tcPr>
          <w:p>
            <w:pPr>
              <w:spacing w:after="0" w:line="250"/>
            </w:pPr>
            <w:r>
              <w:rPr>
                <w:rFonts w:ascii="Calibri" w:cs="Calibri" w:eastAsia="Calibri" w:hAnsi="Calibri"/>
                <w:b/>
                <w:bCs/>
                <w:color w:val="1B2A3A"/>
                <w:sz w:val="17"/>
                <w:szCs w:val="17"/>
              </w:rPr>
              <w:t xml:space="preserve">Offering</w:t>
            </w:r>
          </w:p>
        </w:tc>
        <w:tc>
          <w:tcPr>
            <w:tcW w:type="dxa" w:w="3200"/>
            <w:shd w:fill="EDF2F2" w:color="auto" w:val="clear"/>
            <w:tcMar>
              <w:top w:type="dxa" w:w="70"/>
              <w:left w:type="dxa" w:w="110"/>
              <w:bottom w:type="dxa" w:w="70"/>
              <w:right w:type="dxa" w:w="110"/>
            </w:tcMar>
          </w:tcPr>
          <w:p>
            <w:pPr>
              <w:spacing w:after="0" w:line="250"/>
            </w:pPr>
            <w:r>
              <w:rPr>
                <w:rFonts w:ascii="Calibri" w:cs="Calibri" w:eastAsia="Calibri" w:hAnsi="Calibri"/>
                <w:b/>
                <w:bCs/>
                <w:color w:val="1B2A3A"/>
                <w:sz w:val="17"/>
                <w:szCs w:val="17"/>
              </w:rPr>
              <w:t xml:space="preserve">Floor calculation</w:t>
            </w:r>
          </w:p>
        </w:tc>
        <w:tc>
          <w:tcPr>
            <w:tcW w:type="dxa" w:w="4760"/>
            <w:shd w:fill="EDF2F2" w:color="auto" w:val="clear"/>
            <w:tcMar>
              <w:top w:type="dxa" w:w="70"/>
              <w:left w:type="dxa" w:w="110"/>
              <w:bottom w:type="dxa" w:w="70"/>
              <w:right w:type="dxa" w:w="110"/>
            </w:tcMar>
          </w:tcPr>
          <w:p>
            <w:pPr>
              <w:spacing w:after="0" w:line="250"/>
            </w:pPr>
            <w:r>
              <w:rPr>
                <w:rFonts w:ascii="Calibri" w:cs="Calibri" w:eastAsia="Calibri" w:hAnsi="Calibri"/>
                <w:b/>
                <w:bCs/>
                <w:color w:val="1B2A3A"/>
                <w:sz w:val="17"/>
                <w:szCs w:val="17"/>
              </w:rPr>
              <w:t xml:space="preserve">Fee to set</w:t>
            </w:r>
          </w:p>
        </w:tc>
      </w:tr>
      <w:tr>
        <w:tc>
          <w:tcPr>
            <w:tcW w:type="dxa" w:w="14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P1</w:t>
            </w:r>
          </w:p>
        </w:tc>
        <w:tc>
          <w:tcPr>
            <w:tcW w:type="dxa" w:w="32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Estimated delivery hours [E1] x sourced blended hourly baseline = floor [F1].</w:t>
            </w:r>
          </w:p>
        </w:tc>
        <w:tc>
          <w:tcPr>
            <w:tcW w:type="dxa" w:w="47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Fixed fee [FEE-P1] set at [F1] x fixed price premium [M1]. The premium covers estimate risk, since you carry the overrun, and the value of a scored, sequenced answer versus an hourly engagement of uncertain length.</w:t>
            </w:r>
          </w:p>
        </w:tc>
      </w:tr>
      <w:tr>
        <w:tc>
          <w:tcPr>
            <w:tcW w:type="dxa" w:w="14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P2</w:t>
            </w:r>
          </w:p>
        </w:tc>
        <w:tc>
          <w:tcPr>
            <w:tcW w:type="dxa" w:w="32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Estimated hours per tranche [E2] x baseline = floor [F2].</w:t>
            </w:r>
          </w:p>
        </w:tc>
        <w:tc>
          <w:tcPr>
            <w:tcW w:type="dxa" w:w="47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Fixed fee per tranche [FEE-P2] set at [F2] x [M2]. Check that the repeat tranche fee still clears the floor once your own learning curve reduces effort, and resist the temptation to pass that efficiency to the client.</w:t>
            </w:r>
          </w:p>
        </w:tc>
      </w:tr>
      <w:tr>
        <w:tc>
          <w:tcPr>
            <w:tcW w:type="dxa" w:w="14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P3</w:t>
            </w:r>
          </w:p>
        </w:tc>
        <w:tc>
          <w:tcPr>
            <w:tcW w:type="dxa" w:w="32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Estimated hours per quarterly module [E3] x baseline = floor [F3], advisory only, excluding network delivery.</w:t>
            </w:r>
          </w:p>
        </w:tc>
        <w:tc>
          <w:tcPr>
            <w:tcW w:type="dxa" w:w="47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Fixed fee per module [FEE-P3] set at [F3] x [M3]. Network delivery quoted separately at stated margin.</w:t>
            </w:r>
          </w:p>
        </w:tc>
      </w:tr>
      <w:tr>
        <w:tc>
          <w:tcPr>
            <w:tcW w:type="dxa" w:w="14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R</w:t>
            </w:r>
          </w:p>
        </w:tc>
        <w:tc>
          <w:tcPr>
            <w:tcW w:type="dxa" w:w="32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Envelope days per month [D] x hours per day [H] x baseline = hourly equivalent floor [FR].</w:t>
            </w:r>
          </w:p>
        </w:tc>
        <w:tc>
          <w:tcPr>
            <w:tcW w:type="dxa" w:w="47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Monthly access fee [FEE-R] set at [FR] x access premium [MR]. [MR] is the whole pricing thesis: it is what the client pays for availability and accountability over and above metered delivery. If [MR] is at or near 1.0, this is still a day rate wearing different clothes.</w:t>
            </w:r>
          </w:p>
        </w:tc>
      </w:tr>
    </w:tbl>
    <w:p>
      <w:pPr>
        <w:spacing w:after="120"/>
      </w:pPr>
      <w:r>
        <w:rPr>
          <w:sz w:val="2"/>
          <w:szCs w:val="2"/>
        </w:rPr>
        <w:t xml:space="preserve"/>
      </w:r>
    </w:p>
    <w:p>
      <w:pPr>
        <w:pBdr>
          <w:left w:val="single" w:color="A6791A" w:sz="18" w:space="8"/>
        </w:pBdr>
        <w:shd w:fill="FBF6E9" w:color="auto" w:val="clear"/>
        <w:spacing w:after="140" w:before="100" w:line="264"/>
        <w:ind w:left="120" w:right="120"/>
      </w:pPr>
      <w:r>
        <w:rPr>
          <w:rFonts w:ascii="Calibri" w:cs="Calibri" w:eastAsia="Calibri" w:hAnsi="Calibri"/>
          <w:b/>
          <w:bCs/>
          <w:color w:val="2B2E31"/>
          <w:sz w:val="19"/>
          <w:szCs w:val="19"/>
        </w:rPr>
        <w:t xml:space="preserve">Decisions required before any of this becomes client facing: </w:t>
      </w:r>
      <w:r>
        <w:rPr>
          <w:rFonts w:ascii="Calibri" w:cs="Calibri" w:eastAsia="Calibri" w:hAnsi="Calibri"/>
          <w:color w:val="2B2E31"/>
          <w:sz w:val="19"/>
          <w:szCs w:val="19"/>
        </w:rPr>
        <w:t xml:space="preserve">the four effort estimates [E1] [E2] [E3], the envelope [D] and [H], the four premium multipliers [M1] [M2] [M3] [MR], and the credit window length. The multipliers are commercial judgment rather than arithmetic, and the access premium [MR] is the single most consequential number in the practice.</w:t>
      </w:r>
    </w:p>
    <w:p>
      <w:pPr>
        <w:pBdr>
          <w:left w:val="single" w:color="A6791A" w:sz="18" w:space="8"/>
        </w:pBdr>
        <w:shd w:fill="FBF6E9" w:color="auto" w:val="clear"/>
        <w:spacing w:after="140" w:before="100" w:line="264"/>
        <w:ind w:left="120" w:right="120"/>
      </w:pPr>
      <w:r>
        <w:rPr>
          <w:rFonts w:ascii="Calibri" w:cs="Calibri" w:eastAsia="Calibri" w:hAnsi="Calibri"/>
          <w:b/>
          <w:bCs/>
          <w:color w:val="2B2E31"/>
          <w:sz w:val="19"/>
          <w:szCs w:val="19"/>
        </w:rPr>
        <w:t xml:space="preserve">New, following the 2.2 decision. </w:t>
      </w:r>
      <w:r>
        <w:rPr>
          <w:rFonts w:ascii="Calibri" w:cs="Calibri" w:eastAsia="Calibri" w:hAnsi="Calibri"/>
          <w:color w:val="2B2E31"/>
          <w:sz w:val="19"/>
          <w:szCs w:val="19"/>
        </w:rPr>
        <w:t xml:space="preserve">The floor calculations above all run off a single blended baseline that includes a regulated industry premium. With the buyer set no longer restricted to regulated financial services, decide whether the practice carries one floor or two: a single floor set at the regulated level, which is cleaner to administer and may overprice a non regulated engagement, or a two tier floor with the premium applied only where the regulatory environment genuinely drives the work. A defensible middle position is one floor, with the regulated premium justified by the governance content of the work rather than by the client's sector, since decision rights and governance architecture in a regulated setting is materially harder work regardless of who is buying it.</w:t>
      </w:r>
    </w:p>
    <w:p>
      <w:pPr>
        <w:pStyle w:val="Heading2"/>
        <w:spacing w:after="100" w:before="240"/>
      </w:pPr>
      <w:r>
        <w:rPr>
          <w:rFonts w:ascii="Calibri" w:cs="Calibri" w:eastAsia="Calibri" w:hAnsi="Calibri"/>
          <w:b/>
          <w:bCs/>
          <w:color w:val="1B2A3A"/>
          <w:sz w:val="22"/>
          <w:szCs w:val="22"/>
        </w:rPr>
        <w:t xml:space="preserve">4.6 External benchmark reference</w:t>
      </w:r>
    </w:p>
    <w:p>
      <w:pPr>
        <w:spacing w:after="120" w:before="0" w:line="264"/>
      </w:pPr>
      <w:r>
        <w:rPr>
          <w:rFonts w:ascii="Calibri" w:cs="Calibri" w:eastAsia="Calibri" w:hAnsi="Calibri"/>
          <w:color w:val="2B2E31"/>
          <w:sz w:val="20"/>
          <w:szCs w:val="20"/>
        </w:rPr>
        <w:t xml:space="preserve">Gathered for orientation on the shape of the market, not to set fees. A source quality caveat is attached to each because it matters here: the fractional pricing material available publicly is overwhelmingly content marketing published by firms selling the service, which is a systematically biased source class. None of the figures below should be treated the way the PSPC rate card is treated.</w:t>
      </w:r>
    </w:p>
    <w:tbl>
      <w:tblPr>
        <w:tblW w:type="dxa" w:w="9360"/>
        <w:tblBorders>
          <w:top w:val="single" w:color="C9D2D8" w:sz="4"/>
          <w:left w:val="single" w:color="C9D2D8" w:sz="4"/>
          <w:bottom w:val="single" w:color="C9D2D8" w:sz="4"/>
          <w:right w:val="single" w:color="C9D2D8" w:sz="4"/>
          <w:insideH w:val="single" w:color="C9D2D8" w:sz="4"/>
          <w:insideV w:val="single" w:color="C9D2D8" w:sz="4"/>
        </w:tblBorders>
      </w:tblPr>
      <w:tblGrid>
        <w:gridCol w:w="2100"/>
        <w:gridCol w:w="2500"/>
        <w:gridCol w:w="4760"/>
      </w:tblGrid>
      <w:tr>
        <w:trPr>
          <w:tblHeader/>
        </w:trPr>
        <w:tc>
          <w:tcPr>
            <w:tcW w:type="dxa" w:w="2100"/>
            <w:shd w:fill="EDF2F2" w:color="auto" w:val="clear"/>
            <w:tcMar>
              <w:top w:type="dxa" w:w="70"/>
              <w:left w:type="dxa" w:w="110"/>
              <w:bottom w:type="dxa" w:w="70"/>
              <w:right w:type="dxa" w:w="110"/>
            </w:tcMar>
          </w:tcPr>
          <w:p>
            <w:pPr>
              <w:spacing w:after="0" w:line="250"/>
            </w:pPr>
            <w:r>
              <w:rPr>
                <w:rFonts w:ascii="Calibri" w:cs="Calibri" w:eastAsia="Calibri" w:hAnsi="Calibri"/>
                <w:b/>
                <w:bCs/>
                <w:color w:val="1B2A3A"/>
                <w:sz w:val="17"/>
                <w:szCs w:val="17"/>
              </w:rPr>
              <w:t xml:space="preserve">Reference point</w:t>
            </w:r>
          </w:p>
        </w:tc>
        <w:tc>
          <w:tcPr>
            <w:tcW w:type="dxa" w:w="2500"/>
            <w:shd w:fill="EDF2F2" w:color="auto" w:val="clear"/>
            <w:tcMar>
              <w:top w:type="dxa" w:w="70"/>
              <w:left w:type="dxa" w:w="110"/>
              <w:bottom w:type="dxa" w:w="70"/>
              <w:right w:type="dxa" w:w="110"/>
            </w:tcMar>
          </w:tcPr>
          <w:p>
            <w:pPr>
              <w:spacing w:after="0" w:line="250"/>
            </w:pPr>
            <w:r>
              <w:rPr>
                <w:rFonts w:ascii="Calibri" w:cs="Calibri" w:eastAsia="Calibri" w:hAnsi="Calibri"/>
                <w:b/>
                <w:bCs/>
                <w:color w:val="1B2A3A"/>
                <w:sz w:val="17"/>
                <w:szCs w:val="17"/>
              </w:rPr>
              <w:t xml:space="preserve">Reported range</w:t>
            </w:r>
          </w:p>
        </w:tc>
        <w:tc>
          <w:tcPr>
            <w:tcW w:type="dxa" w:w="4760"/>
            <w:shd w:fill="EDF2F2" w:color="auto" w:val="clear"/>
            <w:tcMar>
              <w:top w:type="dxa" w:w="70"/>
              <w:left w:type="dxa" w:w="110"/>
              <w:bottom w:type="dxa" w:w="70"/>
              <w:right w:type="dxa" w:w="110"/>
            </w:tcMar>
          </w:tcPr>
          <w:p>
            <w:pPr>
              <w:spacing w:after="0" w:line="250"/>
            </w:pPr>
            <w:r>
              <w:rPr>
                <w:rFonts w:ascii="Calibri" w:cs="Calibri" w:eastAsia="Calibri" w:hAnsi="Calibri"/>
                <w:b/>
                <w:bCs/>
                <w:color w:val="1B2A3A"/>
                <w:sz w:val="17"/>
                <w:szCs w:val="17"/>
              </w:rPr>
              <w:t xml:space="preserve">Source and quality caveat</w:t>
            </w:r>
          </w:p>
        </w:tc>
      </w:tr>
      <w:tr>
        <w:tc>
          <w:tcPr>
            <w:tcW w:type="dxa" w:w="21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Fractional executive monthly retainer, general</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Commonly cited band of roughly 7,500 to 25,000 USD per month, clustering around 12,000 to 18,000.</w:t>
            </w:r>
          </w:p>
        </w:tc>
        <w:tc>
          <w:tcPr>
            <w:tcW w:type="dxa" w:w="47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Aggregated from several 2026 fractional marketplace and consultancy blog posts. Content marketing published by sellers of the service. Directional only. No methodology disclosed by any source.</w:t>
            </w:r>
          </w:p>
        </w:tc>
      </w:tr>
      <w:tr>
        <w:tc>
          <w:tcPr>
            <w:tcW w:type="dxa" w:w="21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Regulated industry premium on fractional retainers</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Roughly 15 to 25 percent above general bands.</w:t>
            </w:r>
          </w:p>
        </w:tc>
        <w:tc>
          <w:tcPr>
            <w:tcW w:type="dxa" w:w="47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Same source class. Notable only because it directionally agrees with the regulated premium already built into your sourced hourly baseline, which is mild corroboration rather than evidence.</w:t>
            </w:r>
          </w:p>
        </w:tc>
      </w:tr>
      <w:tr>
        <w:tc>
          <w:tcPr>
            <w:tcW w:type="dxa" w:w="21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Independent management consulting project fees</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Roughly 15,000 to 150,000 USD per project depending on scope and stakes, with boutique transformation programs above that.</w:t>
            </w:r>
          </w:p>
        </w:tc>
        <w:tc>
          <w:tcPr>
            <w:tcW w:type="dxa" w:w="47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Consulting fee aggregator content. Wide enough to be nearly unfalsifiable. Useful only to confirm a fixed fee diagnostic is a normal market instrument, not to locate a number.</w:t>
            </w:r>
          </w:p>
        </w:tc>
      </w:tr>
      <w:tr>
        <w:tc>
          <w:tcPr>
            <w:tcW w:type="dxa" w:w="21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Defined scope strategy project fees</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Roughly 8,000 to 30,000 USD for a bounded piece of analysis or strategy work.</w:t>
            </w:r>
          </w:p>
        </w:tc>
        <w:tc>
          <w:tcPr>
            <w:tcW w:type="dxa" w:w="47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Same class. The most relevant comparator for P1 in shape, and the one to treat most sceptically in level, since it describes a smaller and less senior engagement than an eight dimension diagnostic with an executive readout.</w:t>
            </w:r>
          </w:p>
        </w:tc>
      </w:tr>
      <w:tr>
        <w:tc>
          <w:tcPr>
            <w:tcW w:type="dxa" w:w="21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Sourced hourly baseline, internal floor only</w:t>
            </w:r>
          </w:p>
        </w:tc>
        <w:tc>
          <w:tcPr>
            <w:tcW w:type="dxa" w:w="25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The blended figure already established and validated in the business plan.</w:t>
            </w:r>
          </w:p>
        </w:tc>
        <w:tc>
          <w:tcPr>
            <w:tcW w:type="dxa" w:w="47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Government of Canada PSPC and TBIPS rate card plus regulated industry premium, cross checked against Procom published rates and CAD converted boutique network benchmarks. This is the only authoritative anchor in the table and the only one used in 4.5.</w:t>
            </w:r>
          </w:p>
        </w:tc>
      </w:tr>
    </w:tbl>
    <w:p>
      <w:pPr>
        <w:spacing w:after="120"/>
      </w:pPr>
      <w:r>
        <w:rPr>
          <w:sz w:val="2"/>
          <w:szCs w:val="2"/>
        </w:rPr>
        <w:t xml:space="preserve"/>
      </w:r>
    </w:p>
    <w:p>
      <w:pPr>
        <w:spacing w:after="120" w:before="0" w:line="264"/>
      </w:pPr>
      <w:r>
        <w:rPr>
          <w:rFonts w:ascii="Calibri" w:cs="Calibri" w:eastAsia="Calibri" w:hAnsi="Calibri"/>
          <w:b/>
          <w:bCs/>
          <w:color w:val="2B2E31"/>
          <w:sz w:val="20"/>
          <w:szCs w:val="20"/>
        </w:rPr>
        <w:t xml:space="preserve">One corroboration worth noting separately. </w:t>
      </w:r>
      <w:r>
        <w:rPr>
          <w:rFonts w:ascii="Calibri" w:cs="Calibri" w:eastAsia="Calibri" w:hAnsi="Calibri"/>
          <w:color w:val="2B2E31"/>
          <w:sz w:val="20"/>
          <w:szCs w:val="20"/>
        </w:rPr>
        <w:t xml:space="preserve">The independent consultant peer confirmation of the blended hourly baseline, and the named going rate for subcontracting through a large firm's open talent channel, both remain corroborating and not public. They belong in the anchor conversation, not in this table.</w:t>
      </w:r>
    </w:p>
    <w:p>
      <w:r>
        <w:br w:type="page"/>
      </w:r>
    </w:p>
    <w:p>
      <w:pPr>
        <w:pStyle w:val="Heading1"/>
        <w:pBdr>
          <w:bottom w:val="single" w:color="C9D2D8" w:sz="8" w:space="4"/>
        </w:pBdr>
        <w:spacing w:after="140" w:before="320"/>
      </w:pPr>
      <w:r>
        <w:rPr>
          <w:rFonts w:ascii="Calibri" w:cs="Calibri" w:eastAsia="Calibri" w:hAnsi="Calibri"/>
          <w:b/>
          <w:bCs/>
          <w:color w:val="1B2A3A"/>
          <w:sz w:val="26"/>
          <w:szCs w:val="26"/>
        </w:rPr>
        <w:t xml:space="preserve">5. What this changes in the business plan</w:t>
      </w:r>
    </w:p>
    <w:p>
      <w:pPr>
        <w:spacing w:after="120" w:before="0" w:line="264"/>
      </w:pPr>
      <w:r>
        <w:rPr>
          <w:rFonts w:ascii="Calibri" w:cs="Calibri" w:eastAsia="Calibri" w:hAnsi="Calibri"/>
          <w:color w:val="2B2E31"/>
          <w:sz w:val="20"/>
          <w:szCs w:val="20"/>
        </w:rPr>
        <w:t xml:space="preserve">The repositioning in section 2 and 3 costs nothing in the financial model. The repricing in section 4 does not, and the effects should be worked through before the next decision gate.</w:t>
      </w:r>
    </w:p>
    <w:tbl>
      <w:tblPr>
        <w:tblW w:type="dxa" w:w="9360"/>
        <w:tblBorders>
          <w:top w:val="single" w:color="C9D2D8" w:sz="4"/>
          <w:left w:val="single" w:color="C9D2D8" w:sz="4"/>
          <w:bottom w:val="single" w:color="C9D2D8" w:sz="4"/>
          <w:right w:val="single" w:color="C9D2D8" w:sz="4"/>
          <w:insideH w:val="single" w:color="C9D2D8" w:sz="4"/>
          <w:insideV w:val="single" w:color="C9D2D8" w:sz="4"/>
        </w:tblBorders>
      </w:tblPr>
      <w:tblGrid>
        <w:gridCol w:w="2600"/>
        <w:gridCol w:w="6760"/>
      </w:tblGrid>
      <w:tr>
        <w:tc>
          <w:tcPr>
            <w:tcW w:type="dxa" w:w="26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The hours ceiling</w:t>
            </w:r>
          </w:p>
        </w:tc>
        <w:tc>
          <w:tcPr>
            <w:tcW w:type="dxa" w:w="67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The plan's acknowledged structural constraint is that revenue is capped by your own solo billable hours, with subcontracting through the execution network identified as the most promising and least quantified lever. Access based retainer pricing is a second, independent lever on the same constraint, and it does not depend on winning delivery partners first.</w:t>
            </w:r>
          </w:p>
        </w:tc>
      </w:tr>
      <w:tr>
        <w:tc>
          <w:tcPr>
            <w:tcW w:type="dxa" w:w="26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Utilization sensitivity</w:t>
            </w:r>
          </w:p>
        </w:tc>
        <w:tc>
          <w:tcPr>
            <w:tcW w:type="dxa" w:w="67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The utilization percentages the plan uses to test the compensation floor are computed against an hourly model. Under a flat monthly fee, utilization stops being the driver of retainer revenue. The floor tests need recomputing on a seats held basis for the retainer line, while the project lines remain effort sensitive. This is the specific recalculation to do next.</w:t>
            </w:r>
          </w:p>
        </w:tc>
      </w:tr>
      <w:tr>
        <w:tc>
          <w:tcPr>
            <w:tcW w:type="dxa" w:w="26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Value based pricing lever</w:t>
            </w:r>
          </w:p>
        </w:tc>
        <w:tc>
          <w:tcPr>
            <w:tcW w:type="dxa" w:w="67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The plan lists value based pricing as an identified but unimplemented revenue lever. Sections 4.2 and 4.3 are an implementation of it, at least in structure. Worth recording as partially actioned rather than open.</w:t>
            </w:r>
          </w:p>
        </w:tc>
      </w:tr>
      <w:tr>
        <w:tc>
          <w:tcPr>
            <w:tcW w:type="dxa" w:w="26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Anchor contract channels</w:t>
            </w:r>
          </w:p>
        </w:tc>
        <w:tc>
          <w:tcPr>
            <w:tcW w:type="dxa" w:w="67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The five anchor sourcing channels in motion are mostly hourly or day rate channels by nature, and one of them prices subcontracting well below your blended baseline. Access pricing does not travel through those channels. That argues for treating them as bridge income against the severance runway rather than as the target operating model, and for pursuing direct R engagements as the actual practice.</w:t>
            </w:r>
          </w:p>
        </w:tc>
      </w:tr>
      <w:tr>
        <w:tc>
          <w:tcPr>
            <w:tcW w:type="dxa" w:w="26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The one qualified deal</w:t>
            </w:r>
          </w:p>
        </w:tc>
        <w:tc>
          <w:tcPr>
            <w:tcW w:type="dxa" w:w="67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The current pipeline deal is scoped and priced on estimated hours at the full blended rate. If it converts, it converts on the existing basis. Worth considering whether it can be restructured as P1 into P3, which would test the credit forward mechanic on a live deal at low risk.</w:t>
            </w:r>
          </w:p>
        </w:tc>
      </w:tr>
      <w:tr>
        <w:tc>
          <w:tcPr>
            <w:tcW w:type="dxa" w:w="26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Runway</w:t>
            </w:r>
          </w:p>
        </w:tc>
        <w:tc>
          <w:tcPr>
            <w:tcW w:type="dxa" w:w="67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The salary continuance to approximately March 2027 is what makes this repricing affordable. Access pricing usually takes longer to land the first engagement than day rate pricing, because it asks the buyer to accept an unfamiliar structure. Funded runway is exactly the condition under which that trade is worth making.</w:t>
            </w:r>
          </w:p>
        </w:tc>
      </w:tr>
    </w:tbl>
    <w:p>
      <w:pPr>
        <w:pStyle w:val="Heading1"/>
        <w:pBdr>
          <w:bottom w:val="single" w:color="C9D2D8" w:sz="8" w:space="4"/>
        </w:pBdr>
        <w:spacing w:after="140" w:before="320"/>
      </w:pPr>
      <w:r>
        <w:rPr>
          <w:rFonts w:ascii="Calibri" w:cs="Calibri" w:eastAsia="Calibri" w:hAnsi="Calibri"/>
          <w:b/>
          <w:bCs/>
          <w:color w:val="1B2A3A"/>
          <w:sz w:val="26"/>
          <w:szCs w:val="26"/>
        </w:rPr>
        <w:t xml:space="preserve">6. Open decisions</w:t>
      </w:r>
    </w:p>
    <w:p>
      <w:pPr>
        <w:spacing w:after="120" w:before="0" w:line="264"/>
      </w:pPr>
      <w:r>
        <w:rPr>
          <w:rFonts w:ascii="Calibri" w:cs="Calibri" w:eastAsia="Calibri" w:hAnsi="Calibri"/>
          <w:color w:val="2B2E31"/>
          <w:sz w:val="20"/>
          <w:szCs w:val="20"/>
        </w:rPr>
        <w:t xml:space="preserve">Five closed, four remaining.</w:t>
      </w:r>
    </w:p>
    <w:p>
      <w:pPr>
        <w:pStyle w:val="Heading3"/>
        <w:spacing w:after="80" w:before="180"/>
      </w:pPr>
      <w:r>
        <w:rPr>
          <w:rFonts w:ascii="Calibri" w:cs="Calibri" w:eastAsia="Calibri" w:hAnsi="Calibri"/>
          <w:b/>
          <w:bCs/>
          <w:color w:val="1F8A82"/>
          <w:sz w:val="20"/>
          <w:szCs w:val="20"/>
        </w:rPr>
        <w:t xml:space="preserve">Closed</w:t>
      </w:r>
    </w:p>
    <w:p>
      <w:pPr>
        <w:pStyle w:val="ListParagraph"/>
        <w:numPr>
          <w:ilvl w:val="0"/>
          <w:numId w:val="2"/>
        </w:numPr>
        <w:spacing w:after="70" w:line="260"/>
      </w:pPr>
      <w:r>
        <w:rPr>
          <w:rFonts w:ascii="Calibri" w:cs="Calibri" w:eastAsia="Calibri" w:hAnsi="Calibri"/>
          <w:b/>
          <w:bCs/>
          <w:color w:val="1F8A82"/>
          <w:sz w:val="20"/>
          <w:szCs w:val="20"/>
        </w:rPr>
        <w:t xml:space="preserve">Positioning sentence. </w:t>
      </w:r>
      <w:r>
        <w:rPr>
          <w:rFonts w:ascii="Calibri" w:cs="Calibri" w:eastAsia="Calibri" w:hAnsi="Calibri"/>
          <w:color w:val="2B2E31"/>
          <w:sz w:val="20"/>
          <w:szCs w:val="20"/>
        </w:rPr>
        <w:t xml:space="preserve">Option A from 2.2, sector qualifier removed. Decided 26 July 2026.</w:t>
      </w:r>
    </w:p>
    <w:p>
      <w:pPr>
        <w:pStyle w:val="ListParagraph"/>
        <w:numPr>
          <w:ilvl w:val="0"/>
          <w:numId w:val="2"/>
        </w:numPr>
        <w:spacing w:after="70" w:line="260"/>
      </w:pPr>
      <w:r>
        <w:rPr>
          <w:rFonts w:ascii="Calibri" w:cs="Calibri" w:eastAsia="Calibri" w:hAnsi="Calibri"/>
          <w:b/>
          <w:bCs/>
          <w:color w:val="1F8A82"/>
          <w:sz w:val="20"/>
          <w:szCs w:val="20"/>
        </w:rPr>
        <w:t xml:space="preserve">Offering codes. </w:t>
      </w:r>
      <w:r>
        <w:rPr>
          <w:rFonts w:ascii="Calibri" w:cs="Calibri" w:eastAsia="Calibri" w:hAnsi="Calibri"/>
          <w:color w:val="2B2E31"/>
          <w:sz w:val="20"/>
          <w:szCs w:val="20"/>
        </w:rPr>
        <w:t xml:space="preserve">P series retained. A series renaming dropped. Only P2 changes display name.</w:t>
      </w:r>
    </w:p>
    <w:p>
      <w:pPr>
        <w:pStyle w:val="ListParagraph"/>
        <w:numPr>
          <w:ilvl w:val="0"/>
          <w:numId w:val="2"/>
        </w:numPr>
        <w:spacing w:after="70" w:line="260"/>
      </w:pPr>
      <w:r>
        <w:rPr>
          <w:rFonts w:ascii="Calibri" w:cs="Calibri" w:eastAsia="Calibri" w:hAnsi="Calibri"/>
          <w:b/>
          <w:bCs/>
          <w:color w:val="1F8A82"/>
          <w:sz w:val="20"/>
          <w:szCs w:val="20"/>
        </w:rPr>
        <w:t xml:space="preserve">Practice name. </w:t>
      </w:r>
      <w:r>
        <w:rPr>
          <w:rFonts w:ascii="Calibri" w:cs="Calibri" w:eastAsia="Calibri" w:hAnsi="Calibri"/>
          <w:color w:val="2B2E31"/>
          <w:sz w:val="20"/>
          <w:szCs w:val="20"/>
        </w:rPr>
        <w:t xml:space="preserve">Operating Model Alignment.</w:t>
      </w:r>
    </w:p>
    <w:p>
      <w:pPr>
        <w:pStyle w:val="ListParagraph"/>
        <w:numPr>
          <w:ilvl w:val="0"/>
          <w:numId w:val="2"/>
        </w:numPr>
        <w:spacing w:after="70" w:line="260"/>
      </w:pPr>
      <w:r>
        <w:rPr>
          <w:rFonts w:ascii="Calibri" w:cs="Calibri" w:eastAsia="Calibri" w:hAnsi="Calibri"/>
          <w:b/>
          <w:bCs/>
          <w:color w:val="1F8A82"/>
          <w:sz w:val="20"/>
          <w:szCs w:val="20"/>
        </w:rPr>
        <w:t xml:space="preserve">AI-Native materials. </w:t>
      </w:r>
      <w:r>
        <w:rPr>
          <w:rFonts w:ascii="Calibri" w:cs="Calibri" w:eastAsia="Calibri" w:hAnsi="Calibri"/>
          <w:color w:val="2B2E31"/>
          <w:sz w:val="20"/>
          <w:szCs w:val="20"/>
        </w:rPr>
        <w:t xml:space="preserve">Kept as a trigger specific variant under the rule in 2.6, for reconsideration at three closed engagements.</w:t>
      </w:r>
    </w:p>
    <w:p>
      <w:pPr>
        <w:pStyle w:val="ListParagraph"/>
        <w:numPr>
          <w:ilvl w:val="0"/>
          <w:numId w:val="2"/>
        </w:numPr>
        <w:spacing w:after="70" w:line="260"/>
      </w:pPr>
      <w:r>
        <w:rPr>
          <w:rFonts w:ascii="Calibri" w:cs="Calibri" w:eastAsia="Calibri" w:hAnsi="Calibri"/>
          <w:b/>
          <w:bCs/>
          <w:color w:val="1F8A82"/>
          <w:sz w:val="20"/>
          <w:szCs w:val="20"/>
        </w:rPr>
        <w:t xml:space="preserve">Referral one pager. </w:t>
      </w:r>
      <w:r>
        <w:rPr>
          <w:rFonts w:ascii="Calibri" w:cs="Calibri" w:eastAsia="Calibri" w:hAnsi="Calibri"/>
          <w:color w:val="2B2E31"/>
          <w:sz w:val="20"/>
          <w:szCs w:val="20"/>
        </w:rPr>
        <w:t xml:space="preserve">Drafted as a companion document, OpMo_Referral_OnePager_DRAFT_v0.1.docx, in this folder.</w:t>
      </w:r>
    </w:p>
    <w:p>
      <w:pPr>
        <w:pStyle w:val="Heading3"/>
        <w:spacing w:after="80" w:before="180"/>
      </w:pPr>
      <w:r>
        <w:rPr>
          <w:rFonts w:ascii="Calibri" w:cs="Calibri" w:eastAsia="Calibri" w:hAnsi="Calibri"/>
          <w:b/>
          <w:bCs/>
          <w:color w:val="1F8A82"/>
          <w:sz w:val="20"/>
          <w:szCs w:val="20"/>
        </w:rPr>
        <w:t xml:space="preserve">Remaining, in order of consequence</w:t>
      </w:r>
    </w:p>
    <w:p>
      <w:pPr>
        <w:pStyle w:val="ListParagraph"/>
        <w:numPr>
          <w:ilvl w:val="0"/>
          <w:numId w:val="3"/>
        </w:numPr>
        <w:spacing w:after="90" w:line="260"/>
      </w:pPr>
      <w:r>
        <w:rPr>
          <w:rFonts w:ascii="Calibri" w:cs="Calibri" w:eastAsia="Calibri" w:hAnsi="Calibri"/>
          <w:color w:val="2B2E31"/>
          <w:sz w:val="20"/>
          <w:szCs w:val="20"/>
        </w:rPr>
        <w:t xml:space="preserve">The four premium multipliers, especially the access premium [MR] in 4.5. Still the most consequential commercial judgment in the document, and the one that decides whether R is genuinely access priced or a day rate in different clothes.</w:t>
      </w:r>
    </w:p>
    <w:p>
      <w:pPr>
        <w:pStyle w:val="ListParagraph"/>
        <w:numPr>
          <w:ilvl w:val="0"/>
          <w:numId w:val="3"/>
        </w:numPr>
        <w:spacing w:after="90" w:line="260"/>
      </w:pPr>
      <w:r>
        <w:rPr>
          <w:rFonts w:ascii="Calibri" w:cs="Calibri" w:eastAsia="Calibri" w:hAnsi="Calibri"/>
          <w:color w:val="2B2E31"/>
          <w:sz w:val="20"/>
          <w:szCs w:val="20"/>
        </w:rPr>
        <w:t xml:space="preserve">The four effort estimates [E1] [E2] [E3] and the retainer envelope [D] and [H].</w:t>
      </w:r>
    </w:p>
    <w:p>
      <w:pPr>
        <w:pStyle w:val="ListParagraph"/>
        <w:numPr>
          <w:ilvl w:val="0"/>
          <w:numId w:val="3"/>
        </w:numPr>
        <w:spacing w:after="90" w:line="260"/>
      </w:pPr>
      <w:r>
        <w:rPr>
          <w:rFonts w:ascii="Calibri" w:cs="Calibri" w:eastAsia="Calibri" w:hAnsi="Calibri"/>
          <w:color w:val="2B2E31"/>
          <w:sz w:val="20"/>
          <w:szCs w:val="20"/>
        </w:rPr>
        <w:t xml:space="preserve">One rate floor or two, given the buyer set now extends beyond regulated industries. See the note at the end of 4.5. A defensible middle position is offered there.</w:t>
      </w:r>
    </w:p>
    <w:p>
      <w:pPr>
        <w:pStyle w:val="ListParagraph"/>
        <w:numPr>
          <w:ilvl w:val="0"/>
          <w:numId w:val="3"/>
        </w:numPr>
        <w:spacing w:after="90" w:line="260"/>
      </w:pPr>
      <w:r>
        <w:rPr>
          <w:rFonts w:ascii="Calibri" w:cs="Calibri" w:eastAsia="Calibri" w:hAnsi="Calibri"/>
          <w:color w:val="2B2E31"/>
          <w:sz w:val="20"/>
          <w:szCs w:val="20"/>
        </w:rPr>
        <w:t xml:space="preserve">Credit window length for the P1 fee credit. Sixty days is the recommendation in 4.2.</w:t>
      </w:r>
    </w:p>
    <w:p>
      <w:pPr>
        <w:spacing w:after="120"/>
      </w:pPr>
      <w:r>
        <w:rPr>
          <w:sz w:val="2"/>
          <w:szCs w:val="2"/>
        </w:rPr>
        <w:t xml:space="preserve"/>
      </w:r>
    </w:p>
    <w:p>
      <w:pPr>
        <w:pBdr>
          <w:left w:val="single" w:color="A6791A" w:sz="18" w:space="8"/>
        </w:pBdr>
        <w:shd w:fill="FBF6E9" w:color="auto" w:val="clear"/>
        <w:spacing w:after="140" w:before="100" w:line="264"/>
        <w:ind w:left="120" w:right="120"/>
      </w:pPr>
      <w:r>
        <w:rPr>
          <w:rFonts w:ascii="Calibri" w:cs="Calibri" w:eastAsia="Calibri" w:hAnsi="Calibri"/>
          <w:b/>
          <w:bCs/>
          <w:color w:val="2B2E31"/>
          <w:sz w:val="19"/>
          <w:szCs w:val="19"/>
        </w:rPr>
        <w:t xml:space="preserve">Also queued, not decisions so much as follow on work: </w:t>
      </w:r>
      <w:r>
        <w:rPr>
          <w:rFonts w:ascii="Calibri" w:cs="Calibri" w:eastAsia="Calibri" w:hAnsi="Calibri"/>
          <w:color w:val="2B2E31"/>
          <w:sz w:val="19"/>
          <w:szCs w:val="19"/>
        </w:rPr>
        <w:t xml:space="preserve">bringing the AI-Native handout into line with the practice name and the 2.2 sentence, per 2.6; updating the P2 playbook title and the tracker service line label for the one rename; supplying the two quantified proof points the referral one pager needs; and recomputing the business plan floor tests on a seats held basis for the retainer line, per section 5.</w:t>
      </w:r>
    </w:p>
    <w:p>
      <w:pPr>
        <w:pStyle w:val="Heading1"/>
        <w:pBdr>
          <w:bottom w:val="single" w:color="C9D2D8" w:sz="8" w:space="4"/>
        </w:pBdr>
        <w:spacing w:after="140" w:before="320"/>
      </w:pPr>
      <w:r>
        <w:rPr>
          <w:rFonts w:ascii="Calibri" w:cs="Calibri" w:eastAsia="Calibri" w:hAnsi="Calibri"/>
          <w:b/>
          <w:bCs/>
          <w:color w:val="1B2A3A"/>
          <w:sz w:val="26"/>
          <w:szCs w:val="26"/>
        </w:rPr>
        <w:t xml:space="preserve">7. The test this draft was written against</w:t>
      </w:r>
    </w:p>
    <w:p>
      <w:pPr>
        <w:spacing w:after="120" w:before="0" w:line="264"/>
      </w:pPr>
      <w:r>
        <w:rPr>
          <w:rFonts w:ascii="Calibri" w:cs="Calibri" w:eastAsia="Calibri" w:hAnsi="Calibri"/>
          <w:color w:val="2B2E31"/>
          <w:sz w:val="20"/>
          <w:szCs w:val="20"/>
        </w:rPr>
        <w:t xml:space="preserve">Each criterion is drawn from the saved Deena Priest collection in the Research folder. Recorded so the draft can be checked rather than taken on trust.</w:t>
      </w:r>
    </w:p>
    <w:tbl>
      <w:tblPr>
        <w:tblW w:type="dxa" w:w="9360"/>
        <w:tblBorders>
          <w:top w:val="single" w:color="C9D2D8" w:sz="4"/>
          <w:left w:val="single" w:color="C9D2D8" w:sz="4"/>
          <w:bottom w:val="single" w:color="C9D2D8" w:sz="4"/>
          <w:right w:val="single" w:color="C9D2D8" w:sz="4"/>
          <w:insideH w:val="single" w:color="C9D2D8" w:sz="4"/>
          <w:insideV w:val="single" w:color="C9D2D8" w:sz="4"/>
        </w:tblBorders>
      </w:tblPr>
      <w:tblGrid>
        <w:gridCol w:w="3100"/>
        <w:gridCol w:w="1100"/>
        <w:gridCol w:w="5160"/>
      </w:tblGrid>
      <w:tr>
        <w:trPr>
          <w:tblHeader/>
        </w:trPr>
        <w:tc>
          <w:tcPr>
            <w:tcW w:type="dxa" w:w="3100"/>
            <w:shd w:fill="EDF2F2" w:color="auto" w:val="clear"/>
            <w:tcMar>
              <w:top w:type="dxa" w:w="70"/>
              <w:left w:type="dxa" w:w="110"/>
              <w:bottom w:type="dxa" w:w="70"/>
              <w:right w:type="dxa" w:w="110"/>
            </w:tcMar>
          </w:tcPr>
          <w:p>
            <w:pPr>
              <w:spacing w:after="0" w:line="250"/>
            </w:pPr>
            <w:r>
              <w:rPr>
                <w:rFonts w:ascii="Calibri" w:cs="Calibri" w:eastAsia="Calibri" w:hAnsi="Calibri"/>
                <w:b/>
                <w:bCs/>
                <w:color w:val="1B2A3A"/>
                <w:sz w:val="17"/>
                <w:szCs w:val="17"/>
              </w:rPr>
              <w:t xml:space="preserve">Criterion</w:t>
            </w:r>
          </w:p>
        </w:tc>
        <w:tc>
          <w:tcPr>
            <w:tcW w:type="dxa" w:w="1100"/>
            <w:shd w:fill="EDF2F2" w:color="auto" w:val="clear"/>
            <w:tcMar>
              <w:top w:type="dxa" w:w="70"/>
              <w:left w:type="dxa" w:w="110"/>
              <w:bottom w:type="dxa" w:w="70"/>
              <w:right w:type="dxa" w:w="110"/>
            </w:tcMar>
          </w:tcPr>
          <w:p>
            <w:pPr>
              <w:spacing w:after="0" w:line="250"/>
            </w:pPr>
            <w:r>
              <w:rPr>
                <w:rFonts w:ascii="Calibri" w:cs="Calibri" w:eastAsia="Calibri" w:hAnsi="Calibri"/>
                <w:b/>
                <w:bCs/>
                <w:color w:val="1B2A3A"/>
                <w:sz w:val="17"/>
                <w:szCs w:val="17"/>
              </w:rPr>
              <w:t xml:space="preserve">Passes</w:t>
            </w:r>
          </w:p>
        </w:tc>
        <w:tc>
          <w:tcPr>
            <w:tcW w:type="dxa" w:w="5160"/>
            <w:shd w:fill="EDF2F2" w:color="auto" w:val="clear"/>
            <w:tcMar>
              <w:top w:type="dxa" w:w="70"/>
              <w:left w:type="dxa" w:w="110"/>
              <w:bottom w:type="dxa" w:w="70"/>
              <w:right w:type="dxa" w:w="110"/>
            </w:tcMar>
          </w:tcPr>
          <w:p>
            <w:pPr>
              <w:spacing w:after="0" w:line="250"/>
            </w:pPr>
            <w:r>
              <w:rPr>
                <w:rFonts w:ascii="Calibri" w:cs="Calibri" w:eastAsia="Calibri" w:hAnsi="Calibri"/>
                <w:b/>
                <w:bCs/>
                <w:color w:val="1B2A3A"/>
                <w:sz w:val="17"/>
                <w:szCs w:val="17"/>
              </w:rPr>
              <w:t xml:space="preserve">Note</w:t>
            </w:r>
          </w:p>
        </w:tc>
      </w:tr>
      <w:tr>
        <w:tc>
          <w:tcPr>
            <w:tcW w:type="dxa" w:w="31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A niche is a specific buyer, a specific problem, a specific measurable outcome. "Transformation" is a category.</w:t>
            </w:r>
          </w:p>
        </w:tc>
        <w:tc>
          <w:tcPr>
            <w:tcW w:type="dxa" w:w="11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Yes</w:t>
            </w:r>
          </w:p>
        </w:tc>
        <w:tc>
          <w:tcPr>
            <w:tcW w:type="dxa" w:w="51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Section 2.2 names all three in one sentence. Section 2.3 defines one primary buyer and demotes channels out of the buyer definition.</w:t>
            </w:r>
          </w:p>
        </w:tc>
      </w:tr>
      <w:tr>
        <w:tc>
          <w:tcPr>
            <w:tcW w:type="dxa" w:w="31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Broad help gets you hired once. A named problem gets you called first.</w:t>
            </w:r>
          </w:p>
        </w:tc>
        <w:tc>
          <w:tcPr>
            <w:tcW w:type="dxa" w:w="11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Yes</w:t>
            </w:r>
          </w:p>
        </w:tc>
        <w:tc>
          <w:tcPr>
            <w:tcW w:type="dxa" w:w="51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One marketed front door with a named problem per offering, stated in the buyer's words rather than in practice language.</w:t>
            </w:r>
          </w:p>
        </w:tc>
      </w:tr>
      <w:tr>
        <w:tc>
          <w:tcPr>
            <w:tcW w:type="dxa" w:w="31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Advisors are paid for access. Consultants are paid for hours or deliverables.</w:t>
            </w:r>
          </w:p>
        </w:tc>
        <w:tc>
          <w:tcPr>
            <w:tcW w:type="dxa" w:w="11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Yes</w:t>
            </w:r>
          </w:p>
        </w:tc>
        <w:tc>
          <w:tcPr>
            <w:tcW w:type="dxa" w:w="51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Section 4.3 prices the seat, caps the envelope, and explicitly refuses to invoice overage.</w:t>
            </w:r>
          </w:p>
        </w:tc>
      </w:tr>
      <w:tr>
        <w:tc>
          <w:tcPr>
            <w:tcW w:type="dxa" w:w="31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Outcome based or fixed fee. Never hourly or daily.</w:t>
            </w:r>
          </w:p>
        </w:tc>
        <w:tc>
          <w:tcPr>
            <w:tcW w:type="dxa" w:w="11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Yes</w:t>
            </w:r>
          </w:p>
        </w:tc>
        <w:tc>
          <w:tcPr>
            <w:tcW w:type="dxa" w:w="51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No client facing rate anywhere. Hourly baseline retained as internal floor only, in 4.5.</w:t>
            </w:r>
          </w:p>
        </w:tc>
      </w:tr>
      <w:tr>
        <w:tc>
          <w:tcPr>
            <w:tcW w:type="dxa" w:w="31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Fix foundations before spending on marketing assets.</w:t>
            </w:r>
          </w:p>
        </w:tc>
        <w:tc>
          <w:tcPr>
            <w:tcW w:type="dxa" w:w="11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Yes</w:t>
            </w:r>
          </w:p>
        </w:tc>
        <w:tc>
          <w:tcPr>
            <w:tcW w:type="dxa" w:w="51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This document is deliberately raw. No glossy material until the offerings and prices are settled.</w:t>
            </w:r>
          </w:p>
        </w:tc>
      </w:tr>
      <w:tr>
        <w:tc>
          <w:tcPr>
            <w:tcW w:type="dxa" w:w="31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"I know things" is a weakening proposition. Own the diagnosis and the risk reduction.</w:t>
            </w:r>
          </w:p>
        </w:tc>
        <w:tc>
          <w:tcPr>
            <w:tcW w:type="dxa" w:w="11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Yes</w:t>
            </w:r>
          </w:p>
        </w:tc>
        <w:tc>
          <w:tcPr>
            <w:tcW w:type="dxa" w:w="51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The front door is a diagnostic. The value claim is judgment and sequencing, not knowledge transfer.</w:t>
            </w:r>
          </w:p>
        </w:tc>
      </w:tr>
      <w:tr>
        <w:tc>
          <w:tcPr>
            <w:tcW w:type="dxa" w:w="31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Do not bet the practice on one wave of change.</w:t>
            </w:r>
          </w:p>
        </w:tc>
        <w:tc>
          <w:tcPr>
            <w:tcW w:type="dxa" w:w="11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Yes</w:t>
            </w:r>
          </w:p>
        </w:tc>
        <w:tc>
          <w:tcPr>
            <w:tcW w:type="dxa" w:w="51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Section 2.4 makes the trigger a variable and the failure mode the constant. Eight contexts, one offering.</w:t>
            </w:r>
          </w:p>
        </w:tc>
      </w:tr>
      <w:tr>
        <w:tc>
          <w:tcPr>
            <w:tcW w:type="dxa" w:w="31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Make referrals effortless: one line positioning, three problems, two proof points, the intros you want.</w:t>
            </w:r>
          </w:p>
        </w:tc>
        <w:tc>
          <w:tcPr>
            <w:tcW w:type="dxa" w:w="11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Yes</w:t>
            </w:r>
          </w:p>
        </w:tc>
        <w:tc>
          <w:tcPr>
            <w:tcW w:type="dxa" w:w="51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Drafted as a companion document in this folder. The one liner and the three problems are settled; the two proof points still need quantifying, which is flagged inside that draft.</w:t>
            </w:r>
          </w:p>
        </w:tc>
      </w:tr>
      <w:tr>
        <w:tc>
          <w:tcPr>
            <w:tcW w:type="dxa" w:w="3100"/>
            <w:tcMar>
              <w:top w:type="dxa" w:w="70"/>
              <w:left w:type="dxa" w:w="110"/>
              <w:bottom w:type="dxa" w:w="70"/>
              <w:right w:type="dxa" w:w="110"/>
            </w:tcMar>
          </w:tcPr>
          <w:p>
            <w:pPr>
              <w:spacing w:after="0" w:line="250"/>
            </w:pPr>
            <w:r>
              <w:rPr>
                <w:rFonts w:ascii="Calibri" w:cs="Calibri" w:eastAsia="Calibri" w:hAnsi="Calibri"/>
                <w:b/>
                <w:bCs/>
                <w:color w:val="1B2A3A"/>
                <w:sz w:val="18"/>
                <w:szCs w:val="18"/>
              </w:rPr>
              <w:t xml:space="preserve">Build pipeline deliberately, not only through warm referrals.</w:t>
            </w:r>
          </w:p>
        </w:tc>
        <w:tc>
          <w:tcPr>
            <w:tcW w:type="dxa" w:w="110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Out of scope</w:t>
            </w:r>
          </w:p>
        </w:tc>
        <w:tc>
          <w:tcPr>
            <w:tcW w:type="dxa" w:w="5160"/>
            <w:tcMar>
              <w:top w:type="dxa" w:w="70"/>
              <w:left w:type="dxa" w:w="110"/>
              <w:bottom w:type="dxa" w:w="70"/>
              <w:right w:type="dxa" w:w="110"/>
            </w:tcMar>
          </w:tcPr>
          <w:p>
            <w:pPr>
              <w:spacing w:after="0" w:line="250"/>
            </w:pPr>
            <w:r>
              <w:rPr>
                <w:rFonts w:ascii="Calibri" w:cs="Calibri" w:eastAsia="Calibri" w:hAnsi="Calibri"/>
                <w:b w:val="false"/>
                <w:bCs w:val="false"/>
                <w:color w:val="2B2E31"/>
                <w:sz w:val="18"/>
                <w:szCs w:val="18"/>
              </w:rPr>
              <w:t xml:space="preserve">A pricing and positioning document cannot answer this. It remains the open workstream, and it is where the next block of runway should go rather than into more collateral.</w:t>
            </w:r>
          </w:p>
        </w:tc>
      </w:tr>
    </w:tbl>
    <w:p>
      <w:pPr>
        <w:spacing w:after="200"/>
      </w:pPr>
      <w:r>
        <w:rPr>
          <w:sz w:val="2"/>
          <w:szCs w:val="2"/>
        </w:rPr>
        <w:t xml:space="preserve"/>
      </w:r>
    </w:p>
    <w:p>
      <w:pPr>
        <w:pBdr>
          <w:top w:val="single" w:color="C9D2D8" w:sz="8" w:space="6"/>
        </w:pBdr>
        <w:spacing w:before="200"/>
      </w:pPr>
      <w:r>
        <w:rPr>
          <w:rFonts w:ascii="Calibri" w:cs="Calibri" w:eastAsia="Calibri" w:hAnsi="Calibri"/>
          <w:color w:val="5B6B79"/>
          <w:sz w:val="17"/>
          <w:szCs w:val="17"/>
        </w:rPr>
        <w:t xml:space="preserve">OpMo Advisory  |  Operating Model Alignment  |  Working Draft v0.3  |  Internal</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Model Alignment: Revised Practice and Offerings (Working Draft v0.1)</dc:title>
  <dc:creator>Greg Kliewer</dc:creator>
  <dc:description>Revised OpMo Advisory practice positioning and offering ladder with repriced diagnostic and retainer.</dc:description>
  <cp:lastModifiedBy>Un-named</cp:lastModifiedBy>
  <cp:revision>1</cp:revision>
  <dcterms:created xsi:type="dcterms:W3CDTF">2026-07-27T00:11:34.729Z</dcterms:created>
  <dcterms:modified xsi:type="dcterms:W3CDTF">2026-07-27T00:11:34.729Z</dcterms:modified>
</cp:coreProperties>
</file>

<file path=docProps/custom.xml><?xml version="1.0" encoding="utf-8"?>
<Properties xmlns="http://schemas.openxmlformats.org/officeDocument/2006/custom-properties" xmlns:vt="http://schemas.openxmlformats.org/officeDocument/2006/docPropsVTypes"/>
</file>