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APSIM Strawberry Model — Validation Datasets</w:t>
      </w:r>
    </w:p>
    <w:p>
      <w:pPr>
        <w:pStyle w:val="Heading2"/>
      </w:pPr>
      <w:r>
        <w:t>Model structure (for reference)</w:t>
      </w:r>
    </w:p>
    <w:p>
      <w:r>
        <w:rPr>
          <w:b/>
        </w:rPr>
        <w:t xml:space="preserve">Phenology phases: </w:t>
      </w:r>
      <w:r>
        <w:t>Transplanting → Established → VegetativeGrowth → FlowerInduction → Anthesis → FruitSet → GreenFruit → Maturity → Harvest</w:t>
      </w:r>
    </w:p>
    <w:p>
      <w:r>
        <w:rPr>
          <w:b/>
        </w:rPr>
        <w:t>Key sub-models:</w:t>
      </w:r>
    </w:p>
    <w:p>
      <w:pPr>
        <w:pStyle w:val="ListBullet"/>
      </w:pPr>
      <w:r>
        <w:t>Thermal time: TMin=5°C, TOpt=20°C, sub-daily interpolation</w:t>
      </w:r>
    </w:p>
    <w:p>
      <w:pPr>
        <w:pStyle w:val="ListBullet"/>
      </w:pPr>
      <w:r>
        <w:t>Photoperiod gate: SD cultivars daylength &lt;14h; DN cultivars always open unless Tmean &gt;26°C</w:t>
      </w:r>
    </w:p>
    <w:p>
      <w:pPr>
        <w:pStyle w:val="ListBullet"/>
      </w:pPr>
      <w:r>
        <w:t>Dormancy: Utah chilling model (StrawberryChilling.cs)</w:t>
      </w:r>
    </w:p>
    <w:p>
      <w:pPr>
        <w:spacing w:before="80" w:after="80"/>
        <w:pBdr>
          <w:bottom w:val="single" w:sz="6" w:space="1" w:color="B0B0B0"/>
        </w:pBdr>
      </w:pPr>
    </w:p>
    <w:p>
      <w:pPr>
        <w:pStyle w:val="Heading2"/>
      </w:pPr>
      <w:r>
        <w:t>Dataset 1</w:t>
      </w:r>
      <w:r>
        <w:rPr>
          <w:sz w:val="30"/>
        </w:rPr>
        <w:t xml:space="preserve"> — McWhirt et al. 2023 </w:t>
      </w:r>
      <w:r>
        <w:rPr>
          <w:i/>
        </w:rPr>
        <w:t>(best match for Anthesis→Harvest phases)</w:t>
      </w:r>
    </w:p>
    <w:p>
      <w:r>
        <w:rPr>
          <w:b/>
        </w:rPr>
        <w:t xml:space="preserve">Citation: </w:t>
      </w:r>
      <w:r>
        <w:t>McWhirt, A. (2023). Model Development of the Phenological Cycle from Flower to Fruit of Strawberries (Fragaria × ananassa). Agronomy, 13(10), 2489. https://doi.org/10.3390/agronomy13102489</w:t>
      </w:r>
    </w:p>
    <w:p>
      <w:r>
        <w:rPr>
          <w:b/>
        </w:rPr>
        <w:t xml:space="preserve">URL: </w:t>
      </w:r>
      <w:r>
        <w:t>https://www.mdpi.com/2073-4395/13/10/2489</w:t>
      </w:r>
    </w:p>
    <w:p>
      <w:r>
        <w:rPr>
          <w:b/>
        </w:rPr>
        <w:t xml:space="preserve">Access: </w:t>
      </w:r>
      <w:r>
        <w:t>Open access (CC BY)</w:t>
      </w:r>
    </w:p>
    <w:p>
      <w:r>
        <w:rPr>
          <w:b/>
        </w:rPr>
        <w:t>What it contains:</w:t>
      </w:r>
    </w:p>
    <w:p>
      <w:pPr>
        <w:pStyle w:val="ListBullet"/>
      </w:pPr>
      <w:r>
        <w:t>DN cultivars Albion and San Andreas</w:t>
      </w:r>
    </w:p>
    <w:p>
      <w:pPr>
        <w:pStyle w:val="ListBullet"/>
      </w:pPr>
      <w:r>
        <w:t>Hydroponic drip system, greenhouse, Auburn Alabama (USA)</w:t>
      </w:r>
    </w:p>
    <w:p>
      <w:pPr>
        <w:pStyle w:val="ListBullet"/>
      </w:pPr>
      <w:r>
        <w:t>2022–2023 season; three production cycles:</w:t>
      </w:r>
    </w:p>
    <w:p>
      <w:pPr>
        <w:pStyle w:val="ListBullet2"/>
      </w:pPr>
      <w:r>
        <w:t>Cycle 1: Oct 25 – Dec 16</w:t>
      </w:r>
    </w:p>
    <w:p>
      <w:pPr>
        <w:pStyle w:val="ListBullet2"/>
      </w:pPr>
      <w:r>
        <w:t>Cycle 2: Dec 27 – Feb 21</w:t>
      </w:r>
    </w:p>
    <w:p>
      <w:pPr>
        <w:pStyle w:val="ListBullet2"/>
      </w:pPr>
      <w:r>
        <w:t>Cycle 3: Feb 28 – Apr 16</w:t>
      </w:r>
    </w:p>
    <w:p>
      <w:pPr>
        <w:pStyle w:val="ListBullet"/>
      </w:pPr>
      <w:r>
        <w:t>Daily tracking of 30 flowers per cultivar through six stages (floral bud → ripe fruit)</w:t>
      </w:r>
    </w:p>
    <w:p>
      <w:pPr>
        <w:pStyle w:val="ListBullet"/>
      </w:pPr>
      <w:r>
        <w:t>In-situ weather station data available</w:t>
      </w:r>
    </w:p>
    <w:p>
      <w:pPr>
        <w:pStyle w:val="ListBullet"/>
      </w:pPr>
      <w:r>
        <w:t>GDD base temperature: 3°C</w:t>
      </w:r>
    </w:p>
    <w:p>
      <w:pPr>
        <w:pStyle w:val="ListBullet"/>
      </w:pPr>
      <w:r>
        <w:t>Days to maturity: Albion 51 / 56 / 47 days; San Andreas 43 / 54 / 46 days (cycles 1–3)</w:t>
      </w:r>
    </w:p>
    <w:p>
      <w:pPr>
        <w:pStyle w:val="ListBullet"/>
      </w:pPr>
      <w:r>
        <w:t>Stage 5 (fruit formation) was the longest stage</w:t>
      </w:r>
    </w:p>
    <w:p>
      <w:r>
        <w:rPr>
          <w:b/>
        </w:rPr>
        <w:t xml:space="preserve">Phases validated: </w:t>
      </w:r>
      <w:r>
        <w:t>FlowerInduction → Anthesis → FruitSet → GreenFruit → Maturity → Harvest</w:t>
      </w:r>
    </w:p>
    <w:p>
      <w:r>
        <w:rPr>
          <w:b/>
        </w:rPr>
        <w:t xml:space="preserve">Notes: </w:t>
      </w:r>
      <w:r>
        <w:t>Weather data from an in-situ greenhouse station allows exact GDD reconstruction. Best quantitative dataset for the post-anthesis thermal time targets.</w:t>
      </w:r>
    </w:p>
    <w:p>
      <w:pPr>
        <w:spacing w:before="80" w:after="80"/>
        <w:pBdr>
          <w:bottom w:val="single" w:sz="6" w:space="1" w:color="B0B0B0"/>
        </w:pBdr>
      </w:pPr>
    </w:p>
    <w:p>
      <w:pPr>
        <w:pStyle w:val="Heading2"/>
      </w:pPr>
      <w:r>
        <w:t>Dataset 2</w:t>
      </w:r>
      <w:r>
        <w:rPr>
          <w:sz w:val="30"/>
        </w:rPr>
        <w:t xml:space="preserve"> — Bethere et al. 2016 </w:t>
      </w:r>
      <w:r>
        <w:rPr>
          <w:i/>
        </w:rPr>
        <w:t>(calibrated GDD model, bloom and harvest)</w:t>
      </w:r>
    </w:p>
    <w:p>
      <w:r>
        <w:rPr>
          <w:b/>
        </w:rPr>
        <w:t xml:space="preserve">Citation: </w:t>
      </w:r>
      <w:r>
        <w:t>Bethere, L., Sīle, T., Seņņikovs, J., &amp; Bethers, U. (2016). Impact of climate change on the timing of strawberry phenological processes in the Baltic States. Estonian Journal of Earth Sciences, 65(1), 48–58. https://doi.org/10.3176/earth.2016.04</w:t>
      </w:r>
    </w:p>
    <w:p>
      <w:r>
        <w:rPr>
          <w:b/>
        </w:rPr>
        <w:t xml:space="preserve">URL: </w:t>
      </w:r>
      <w:r>
        <w:t>https://kirj.ee/public/Estonian_Journal_of_Earth_Sciences/2016/issue_1/earth-2016-1-48-59.pdf</w:t>
      </w:r>
    </w:p>
    <w:p>
      <w:r>
        <w:rPr>
          <w:b/>
        </w:rPr>
        <w:t xml:space="preserve">Access: </w:t>
      </w:r>
      <w:r>
        <w:t>Open access</w:t>
      </w:r>
    </w:p>
    <w:p>
      <w:r>
        <w:rPr>
          <w:b/>
        </w:rPr>
        <w:t>What it contains:</w:t>
      </w:r>
    </w:p>
    <w:p>
      <w:pPr>
        <w:pStyle w:val="ListBullet"/>
      </w:pPr>
      <w:r>
        <w:t>Latvia field observations 2010–2013, multiple locations</w:t>
      </w:r>
    </w:p>
    <w:p>
      <w:pPr>
        <w:pStyle w:val="ListBullet"/>
      </w:pPr>
      <w:r>
        <w:t>BBCH-scale phenological observations (stages 61/65 = bloom; 85/87 = first harvest; 89 = second harvest)</w:t>
      </w:r>
    </w:p>
    <w:p>
      <w:pPr>
        <w:pStyle w:val="ListBullet"/>
      </w:pPr>
      <w:r>
        <w:t>Iteratively calibrated GDD model parameters (modified sine wave diurnal interpolation):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Phenological event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Tbase (°C)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GDD sum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 obs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RMSE (days)</w:t>
            </w:r>
          </w:p>
        </w:tc>
      </w:tr>
      <w:tr>
        <w:tc>
          <w:tcPr>
            <w:tcW w:type="dxa" w:w="1728"/>
          </w:tcPr>
          <w:p>
            <w:r>
              <w:t>Bloom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586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4.3</w:t>
            </w:r>
          </w:p>
        </w:tc>
      </w:tr>
      <w:tr>
        <w:tc>
          <w:tcPr>
            <w:tcW w:type="dxa" w:w="1728"/>
          </w:tcPr>
          <w:p>
            <w:r>
              <w:t>First harvest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7.3</w:t>
            </w:r>
          </w:p>
        </w:tc>
      </w:tr>
      <w:tr>
        <w:tc>
          <w:tcPr>
            <w:tcW w:type="dxa" w:w="1728"/>
          </w:tcPr>
          <w:p>
            <w:r>
              <w:t>Second harvest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</w:tbl>
    <w:p>
      <w:pPr>
        <w:spacing w:after="40"/>
      </w:pPr>
    </w:p>
    <w:p>
      <w:pPr>
        <w:pStyle w:val="ListBullet"/>
      </w:pPr>
      <w:r>
        <w:t>GDD for bloom accumulated from 1 January; harvest GDD accumulated from bloom date</w:t>
      </w:r>
    </w:p>
    <w:p>
      <w:r>
        <w:rPr>
          <w:b/>
        </w:rPr>
        <w:t xml:space="preserve">Phases validated: </w:t>
      </w:r>
      <w:r>
        <w:t>VegetativeGrowth → FlowerInduction (bloom); GreenFruit → Maturity (harvest)</w:t>
      </w:r>
    </w:p>
    <w:p>
      <w:r>
        <w:rPr>
          <w:b/>
        </w:rPr>
        <w:t xml:space="preserve">Notes: </w:t>
      </w:r>
      <w:r>
        <w:t>Multi-year multi-location data. Tbase and GDD targets differ from the model's current TMin=5°C — worth comparing directly.</w:t>
      </w:r>
    </w:p>
    <w:p>
      <w:pPr>
        <w:spacing w:before="80" w:after="80"/>
        <w:pBdr>
          <w:bottom w:val="single" w:sz="6" w:space="1" w:color="B0B0B0"/>
        </w:pBdr>
      </w:pPr>
    </w:p>
    <w:p>
      <w:pPr>
        <w:pStyle w:val="Heading2"/>
      </w:pPr>
      <w:r>
        <w:t>Dataset 3</w:t>
      </w:r>
      <w:r>
        <w:rPr>
          <w:sz w:val="30"/>
        </w:rPr>
        <w:t xml:space="preserve"> — Costa et al. 2021 </w:t>
      </w:r>
      <w:r>
        <w:rPr>
          <w:i/>
        </w:rPr>
        <w:t>(SD vs DN photoperiodic comparison)</w:t>
      </w:r>
    </w:p>
    <w:p>
      <w:r>
        <w:rPr>
          <w:b/>
        </w:rPr>
        <w:t xml:space="preserve">Citation: </w:t>
      </w:r>
      <w:r>
        <w:t>Costa, R. C., Calvete, E. O., Spengler, N. C. L., Chiomento, J. L. T., Trentin, N. S., &amp; Paula, J. E. C. (2021). Morpho-phenological and agronomic performance of strawberry cultivars with different photoperiodic flowering responses. Acta Scientiarum. Agronomy, 43, e45189. https://doi.org/10.4025/actasciagron.v43i1.45189</w:t>
      </w:r>
    </w:p>
    <w:p>
      <w:r>
        <w:rPr>
          <w:b/>
        </w:rPr>
        <w:t xml:space="preserve">URL: </w:t>
      </w:r>
      <w:r>
        <w:t>https://pdfs.semanticscholar.org/366e/42a1ce326682061f51a2063ccc2b8fd7c3de.pdf</w:t>
      </w:r>
    </w:p>
    <w:p>
      <w:r>
        <w:rPr>
          <w:b/>
        </w:rPr>
        <w:t xml:space="preserve">Access: </w:t>
      </w:r>
      <w:r>
        <w:t>Open access</w:t>
      </w:r>
    </w:p>
    <w:p>
      <w:r>
        <w:rPr>
          <w:b/>
        </w:rPr>
        <w:t>What it contains:</w:t>
      </w:r>
    </w:p>
    <w:p>
      <w:pPr>
        <w:pStyle w:val="ListBullet"/>
      </w:pPr>
      <w:r>
        <w:t>6 cultivars: Camarosa, Camino Real (SD) and Aromas, Albion, Monterey, San Andreas (DN)</w:t>
      </w:r>
    </w:p>
    <w:p>
      <w:pPr>
        <w:pStyle w:val="ListBullet"/>
      </w:pPr>
      <w:r>
        <w:t>Greenhouse, Rio Grande do Sul, Brazil (28°S, subtropical), 2016</w:t>
      </w:r>
    </w:p>
    <w:p>
      <w:pPr>
        <w:pStyle w:val="ListBullet"/>
      </w:pPr>
      <w:r>
        <w:t>Transplant dates varied by cultivar (May–July 2016); experiment ran to October 2016</w:t>
      </w:r>
    </w:p>
    <w:p>
      <w:pPr>
        <w:pStyle w:val="ListBullet"/>
      </w:pPr>
      <w:r>
        <w:t>Base temperature: 7°C (Arnold 1960 method)</w:t>
      </w:r>
    </w:p>
    <w:p>
      <w:pPr>
        <w:pStyle w:val="ListBullet"/>
      </w:pPr>
      <w:r>
        <w:t>BBCH phenology (E11 to E87)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Cultivar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Days to first flower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ATT to first flower (°C-day, Tbase=7°C)</w:t>
            </w:r>
          </w:p>
        </w:tc>
      </w:tr>
      <w:tr>
        <w:tc>
          <w:tcPr>
            <w:tcW w:type="dxa" w:w="2160"/>
          </w:tcPr>
          <w:p>
            <w:r>
              <w:t>San Andreas</w:t>
            </w:r>
          </w:p>
        </w:tc>
        <w:tc>
          <w:tcPr>
            <w:tcW w:type="dxa" w:w="2160"/>
          </w:tcPr>
          <w:p>
            <w:r>
              <w:t>DN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~327</w:t>
            </w:r>
          </w:p>
        </w:tc>
      </w:tr>
      <w:tr>
        <w:tc>
          <w:tcPr>
            <w:tcW w:type="dxa" w:w="2160"/>
          </w:tcPr>
          <w:p>
            <w:r>
              <w:t>Camarosa</w:t>
            </w:r>
          </w:p>
        </w:tc>
        <w:tc>
          <w:tcPr>
            <w:tcW w:type="dxa" w:w="2160"/>
          </w:tcPr>
          <w:p>
            <w:r>
              <w:t>SD</w:t>
            </w:r>
          </w:p>
        </w:tc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~327</w:t>
            </w:r>
          </w:p>
        </w:tc>
      </w:tr>
      <w:tr>
        <w:tc>
          <w:tcPr>
            <w:tcW w:type="dxa" w:w="2160"/>
          </w:tcPr>
          <w:p>
            <w:r>
              <w:t>Albion</w:t>
            </w:r>
          </w:p>
        </w:tc>
        <w:tc>
          <w:tcPr>
            <w:tcW w:type="dxa" w:w="2160"/>
          </w:tcPr>
          <w:p>
            <w:r>
              <w:t>DN</w:t>
            </w:r>
          </w:p>
        </w:tc>
        <w:tc>
          <w:tcPr>
            <w:tcW w:type="dxa" w:w="2160"/>
          </w:tcPr>
          <w:p>
            <w:r>
              <w:t>~48 (ND mean)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Monterey</w:t>
            </w:r>
          </w:p>
        </w:tc>
        <w:tc>
          <w:tcPr>
            <w:tcW w:type="dxa" w:w="2160"/>
          </w:tcPr>
          <w:p>
            <w:r>
              <w:t>DN</w:t>
            </w:r>
          </w:p>
        </w:tc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Camino Real</w:t>
            </w:r>
          </w:p>
        </w:tc>
        <w:tc>
          <w:tcPr>
            <w:tcW w:type="dxa" w:w="2160"/>
          </w:tcPr>
          <w:p>
            <w:r>
              <w:t>SD</w:t>
            </w:r>
          </w:p>
        </w:tc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spacing w:after="40"/>
      </w:pPr>
    </w:p>
    <w:p>
      <w:pPr>
        <w:pStyle w:val="ListBullet"/>
      </w:pPr>
      <w:r>
        <w:t>Yield data (total fresh fruit mass) by month for each cultivar</w:t>
      </w:r>
    </w:p>
    <w:p>
      <w:pPr>
        <w:pStyle w:val="ListBullet"/>
      </w:pPr>
      <w:r>
        <w:t>Root morphology data also collected</w:t>
      </w:r>
    </w:p>
    <w:p>
      <w:r>
        <w:rPr>
          <w:b/>
        </w:rPr>
        <w:t xml:space="preserve">Phases validated: </w:t>
      </w:r>
      <w:r>
        <w:t>Transplanting → VegetativeGrowth → FlowerInduction; photoperiod gate (SD vs DN responses)</w:t>
      </w:r>
    </w:p>
    <w:p>
      <w:r>
        <w:rPr>
          <w:b/>
        </w:rPr>
        <w:t xml:space="preserve">Notes: </w:t>
      </w:r>
      <w:r>
        <w:t>Southern Hemisphere subtropical conditions — ND cultivars flowered autonomously (not cold-induced). Useful for testing photoperiod gate logic under warm conditions where SD gate stays closed but DN gate stays open.</w:t>
      </w:r>
    </w:p>
    <w:p>
      <w:pPr>
        <w:spacing w:before="80" w:after="80"/>
        <w:pBdr>
          <w:bottom w:val="single" w:sz="6" w:space="1" w:color="B0B0B0"/>
        </w:pBdr>
      </w:pPr>
    </w:p>
    <w:p>
      <w:pPr>
        <w:pStyle w:val="Heading2"/>
      </w:pPr>
      <w:r>
        <w:t>Dataset 4</w:t>
      </w:r>
      <w:r>
        <w:rPr>
          <w:sz w:val="30"/>
        </w:rPr>
        <w:t xml:space="preserve"> — Tanino &amp; Wang 2008 </w:t>
      </w:r>
      <w:r>
        <w:rPr>
          <w:i/>
        </w:rPr>
        <w:t>(chilling model validation)</w:t>
      </w:r>
    </w:p>
    <w:p>
      <w:r>
        <w:rPr>
          <w:b/>
        </w:rPr>
        <w:t xml:space="preserve">Citation: </w:t>
      </w:r>
      <w:r>
        <w:t>Tanino, K., &amp; Wang, M. (2008). Modeling chilling requirement and diurnal temperature differences on flowering and yield performance in strawberry crown production. HortScience, 43(7), 2060–2065.</w:t>
      </w:r>
    </w:p>
    <w:p>
      <w:r>
        <w:rPr>
          <w:b/>
        </w:rPr>
        <w:t xml:space="preserve">URL: </w:t>
      </w:r>
      <w:r>
        <w:t>https://journals.ashs.org/view/journals/hortsci/43/7/article-p2060.xml (paywalled — institutional access required)</w:t>
      </w:r>
    </w:p>
    <w:p>
      <w:r>
        <w:rPr>
          <w:b/>
        </w:rPr>
        <w:t xml:space="preserve">Access: </w:t>
      </w:r>
      <w:r>
        <w:t>Paywalled (ASHS)</w:t>
      </w:r>
    </w:p>
    <w:p>
      <w:r>
        <w:rPr>
          <w:b/>
        </w:rPr>
        <w:t>What it contains:</w:t>
      </w:r>
    </w:p>
    <w:p>
      <w:pPr>
        <w:pStyle w:val="ListBullet"/>
      </w:pPr>
      <w:r>
        <w:t>6-year commercial field data across 5 geographically distinct locations</w:t>
      </w:r>
    </w:p>
    <w:p>
      <w:pPr>
        <w:pStyle w:val="ListBullet"/>
      </w:pPr>
      <w:r>
        <w:t>Compared Utah Model vs. non-weighted ACU for predicting: time to flower; fruit yield</w:t>
      </w:r>
    </w:p>
    <w:p>
      <w:pPr>
        <w:pStyle w:val="ListBullet"/>
      </w:pPr>
      <w:r>
        <w:t>Best correlation for flowering time: quadratic function with ACU using effective temperatures –2 to 15°C</w:t>
      </w:r>
    </w:p>
    <w:p>
      <w:pPr>
        <w:pStyle w:val="ListBullet"/>
      </w:pPr>
      <w:r>
        <w:t>Fruit yield correlated only with specific weighted accumulation models (not simple chilling hours)</w:t>
      </w:r>
    </w:p>
    <w:p>
      <w:pPr>
        <w:pStyle w:val="ListBullet"/>
      </w:pPr>
      <w:r>
        <w:t>Daylength interaction with chilling also modelled</w:t>
      </w:r>
    </w:p>
    <w:p>
      <w:r>
        <w:rPr>
          <w:b/>
        </w:rPr>
        <w:t xml:space="preserve">Sub-model validated: </w:t>
      </w:r>
      <w:r>
        <w:t>StrawberryChilling.cs Utah chilling model; ChillingComplete → FlowerInduction phase</w:t>
      </w:r>
    </w:p>
    <w:p>
      <w:r>
        <w:rPr>
          <w:b/>
        </w:rPr>
        <w:t xml:space="preserve">Notes: </w:t>
      </w:r>
      <w:r>
        <w:t>Most directly relevant to the dormancy/chilling sub-model. The paper's multi-location multi-year structure is ideal for testing whether the Utah model outperforms simpler chilling hour counts.</w:t>
      </w:r>
    </w:p>
    <w:p>
      <w:pPr>
        <w:spacing w:before="80" w:after="80"/>
        <w:pBdr>
          <w:bottom w:val="single" w:sz="6" w:space="1" w:color="B0B0B0"/>
        </w:pBdr>
      </w:pPr>
    </w:p>
    <w:p>
      <w:pPr>
        <w:pStyle w:val="Heading2"/>
      </w:pPr>
      <w:r>
        <w:t>Dataset 5</w:t>
      </w:r>
      <w:r>
        <w:rPr>
          <w:sz w:val="30"/>
        </w:rPr>
        <w:t xml:space="preserve"> — Verheul et al. 2006 </w:t>
      </w:r>
      <w:r>
        <w:rPr>
          <w:i/>
        </w:rPr>
        <w:t>(photoperiod gate parameters)</w:t>
      </w:r>
    </w:p>
    <w:p>
      <w:r>
        <w:rPr>
          <w:b/>
        </w:rPr>
        <w:t xml:space="preserve">Citation: </w:t>
      </w:r>
      <w:r>
        <w:t>Verheul, M. J., Sønsteby, A., &amp; Grimstad, S. O. (2006). Interactions of photoperiod, temperature, duration of short-day treatment and plant age on flowering of Fragaria × ananassa Duch. cv. Korona. Scientia Horticulturae, 107(2), 164–170. https://doi.org/10.1016/j.scienta.2005.07.004</w:t>
      </w:r>
    </w:p>
    <w:p>
      <w:r>
        <w:rPr>
          <w:i/>
        </w:rPr>
        <w:t>(Corrected 2026-07-23 — this dataset was previously misattributed to "Durner, E.F. (2005)"; the paper, URL, and findings below are unchanged, only the author/year/volume/DOI were wrong.)</w:t>
      </w:r>
    </w:p>
    <w:p>
      <w:r>
        <w:rPr>
          <w:b/>
        </w:rPr>
        <w:t xml:space="preserve">URL: </w:t>
      </w:r>
      <w:r>
        <w:t>https://www.sciencedirect.com/science/article/abs/pii/S030442380500258X (paywalled)</w:t>
      </w:r>
    </w:p>
    <w:p>
      <w:r>
        <w:rPr>
          <w:b/>
        </w:rPr>
        <w:t xml:space="preserve">Access: </w:t>
      </w:r>
      <w:r>
        <w:t>Paywalled (Elsevier)</w:t>
      </w:r>
    </w:p>
    <w:p>
      <w:r>
        <w:rPr>
          <w:b/>
        </w:rPr>
        <w:t>What it contains:</w:t>
      </w:r>
    </w:p>
    <w:p>
      <w:pPr>
        <w:pStyle w:val="ListBullet"/>
      </w:pPr>
      <w:r>
        <w:t>Controlled-environment experiments varying photoperiod (10, 12, 16, 20, 24 h), day temperature (12–30°C), number of short days (14, 21, 28 d), and plant age</w:t>
      </w:r>
    </w:p>
    <w:p>
      <w:pPr>
        <w:pStyle w:val="ListBullet"/>
      </w:pPr>
      <w:r>
        <w:t>SD cultivar cv. Korona</w:t>
      </w:r>
    </w:p>
    <w:p>
      <w:pPr>
        <w:pStyle w:val="ListBullet"/>
      </w:pPr>
      <w:r>
        <w:t>Key result: all plants flowered under 10–12 h photoperiod after ≥21 short days at 12–18°C; no flowering at 16 h photoperiod</w:t>
      </w:r>
    </w:p>
    <w:p>
      <w:pPr>
        <w:pStyle w:val="ListBullet"/>
      </w:pPr>
      <w:r>
        <w:t>DN cultivars (Tristar, Hecker): flowering suppressed only above ~26–28°C (day/night)</w:t>
      </w:r>
    </w:p>
    <w:p>
      <w:r>
        <w:rPr>
          <w:b/>
        </w:rPr>
        <w:t xml:space="preserve">Sub-model validated: </w:t>
      </w:r>
      <w:r>
        <w:t>StrawberryPhotoperiod.cs — CriticalDayLength, MinInductiveDays, MinInductiveTemp/MaxInductiveTemp, HeatSuppressionThreshold</w:t>
      </w:r>
    </w:p>
    <w:p>
      <w:r>
        <w:rPr>
          <w:b/>
        </w:rPr>
        <w:t xml:space="preserve">Notes: </w:t>
      </w:r>
      <w:r>
        <w:t>These results broadly support the default parameter values in the photoperiod script. Durner's 1984 paper (JASHS) is the original DN threshold work; the 2006 Korona paper (Verheul et al.) is most directly comparable to the SD gate logic.</w:t>
      </w:r>
    </w:p>
    <w:p>
      <w:pPr>
        <w:spacing w:before="80" w:after="80"/>
        <w:pBdr>
          <w:bottom w:val="single" w:sz="6" w:space="1" w:color="B0B0B0"/>
        </w:pBdr>
      </w:pPr>
    </w:p>
    <w:p>
      <w:pPr>
        <w:pStyle w:val="Heading2"/>
      </w:pPr>
      <w:r>
        <w:t>Summary — which phases each dataset covers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Phase(s)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Dataset(s)</w:t>
            </w:r>
          </w:p>
        </w:tc>
      </w:tr>
      <w:tr>
        <w:tc>
          <w:tcPr>
            <w:tcW w:type="dxa" w:w="4320"/>
          </w:tcPr>
          <w:p>
            <w:r>
              <w:t>Transplanting → Established</w:t>
            </w:r>
          </w:p>
        </w:tc>
        <w:tc>
          <w:tcPr>
            <w:tcW w:type="dxa" w:w="4320"/>
          </w:tcPr>
          <w:p>
            <w:r>
              <w:t>Not well covered — use grower records</w:t>
            </w:r>
          </w:p>
        </w:tc>
      </w:tr>
      <w:tr>
        <w:tc>
          <w:tcPr>
            <w:tcW w:type="dxa" w:w="4320"/>
          </w:tcPr>
          <w:p>
            <w:r>
              <w:t>Established → VegetativeGrowth</w:t>
            </w:r>
          </w:p>
        </w:tc>
        <w:tc>
          <w:tcPr>
            <w:tcW w:type="dxa" w:w="4320"/>
          </w:tcPr>
          <w:p>
            <w:r>
              <w:t>Not well covered</w:t>
            </w:r>
          </w:p>
        </w:tc>
      </w:tr>
      <w:tr>
        <w:tc>
          <w:tcPr>
            <w:tcW w:type="dxa" w:w="4320"/>
          </w:tcPr>
          <w:p>
            <w:r>
              <w:t>VegetativeGrowth → FlowerInduction (bloom)</w:t>
            </w:r>
          </w:p>
        </w:tc>
        <w:tc>
          <w:tcPr>
            <w:tcW w:type="dxa" w:w="4320"/>
          </w:tcPr>
          <w:p>
            <w:r>
              <w:t>Bethere 2016, Costa 2021</w:t>
            </w:r>
          </w:p>
        </w:tc>
      </w:tr>
      <w:tr>
        <w:tc>
          <w:tcPr>
            <w:tcW w:type="dxa" w:w="4320"/>
          </w:tcPr>
          <w:p>
            <w:r>
              <w:t>FlowerInduction → Anthesis</w:t>
            </w:r>
          </w:p>
        </w:tc>
        <w:tc>
          <w:tcPr>
            <w:tcW w:type="dxa" w:w="4320"/>
          </w:tcPr>
          <w:p>
            <w:r>
              <w:t>McWhirt 2023, Verheul et al. 2006</w:t>
            </w:r>
          </w:p>
        </w:tc>
      </w:tr>
      <w:tr>
        <w:tc>
          <w:tcPr>
            <w:tcW w:type="dxa" w:w="4320"/>
          </w:tcPr>
          <w:p>
            <w:r>
              <w:t>Anthesis → FruitSet</w:t>
            </w:r>
          </w:p>
        </w:tc>
        <w:tc>
          <w:tcPr>
            <w:tcW w:type="dxa" w:w="4320"/>
          </w:tcPr>
          <w:p>
            <w:r>
              <w:t>McWhirt 2023</w:t>
            </w:r>
          </w:p>
        </w:tc>
      </w:tr>
      <w:tr>
        <w:tc>
          <w:tcPr>
            <w:tcW w:type="dxa" w:w="4320"/>
          </w:tcPr>
          <w:p>
            <w:r>
              <w:t>FruitSet → GreenFruit</w:t>
            </w:r>
          </w:p>
        </w:tc>
        <w:tc>
          <w:tcPr>
            <w:tcW w:type="dxa" w:w="4320"/>
          </w:tcPr>
          <w:p>
            <w:r>
              <w:t>McWhirt 2023</w:t>
            </w:r>
          </w:p>
        </w:tc>
      </w:tr>
      <w:tr>
        <w:tc>
          <w:tcPr>
            <w:tcW w:type="dxa" w:w="4320"/>
          </w:tcPr>
          <w:p>
            <w:r>
              <w:t>GreenFruit → Maturity</w:t>
            </w:r>
          </w:p>
        </w:tc>
        <w:tc>
          <w:tcPr>
            <w:tcW w:type="dxa" w:w="4320"/>
          </w:tcPr>
          <w:p>
            <w:r>
              <w:t>McWhirt 2023, Bethere 2016</w:t>
            </w:r>
          </w:p>
        </w:tc>
      </w:tr>
      <w:tr>
        <w:tc>
          <w:tcPr>
            <w:tcW w:type="dxa" w:w="4320"/>
          </w:tcPr>
          <w:p>
            <w:r>
              <w:t>Maturity → Harvest</w:t>
            </w:r>
          </w:p>
        </w:tc>
        <w:tc>
          <w:tcPr>
            <w:tcW w:type="dxa" w:w="4320"/>
          </w:tcPr>
          <w:p>
            <w:r>
              <w:t>Bethere 2016, Costa 2021</w:t>
            </w:r>
          </w:p>
        </w:tc>
      </w:tr>
      <w:tr>
        <w:tc>
          <w:tcPr>
            <w:tcW w:type="dxa" w:w="4320"/>
          </w:tcPr>
          <w:p>
            <w:r>
              <w:t>Dormancy / Utah chilling</w:t>
            </w:r>
          </w:p>
        </w:tc>
        <w:tc>
          <w:tcPr>
            <w:tcW w:type="dxa" w:w="4320"/>
          </w:tcPr>
          <w:p>
            <w:r>
              <w:t>Tanino &amp; Wang 2008</w:t>
            </w:r>
          </w:p>
        </w:tc>
      </w:tr>
      <w:tr>
        <w:tc>
          <w:tcPr>
            <w:tcW w:type="dxa" w:w="4320"/>
          </w:tcPr>
          <w:p>
            <w:r>
              <w:t>Photoperiod gate (SD)</w:t>
            </w:r>
          </w:p>
        </w:tc>
        <w:tc>
          <w:tcPr>
            <w:tcW w:type="dxa" w:w="4320"/>
          </w:tcPr>
          <w:p>
            <w:r>
              <w:t>Verheul et al. 2006</w:t>
            </w:r>
          </w:p>
        </w:tc>
      </w:tr>
      <w:tr>
        <w:tc>
          <w:tcPr>
            <w:tcW w:type="dxa" w:w="4320"/>
          </w:tcPr>
          <w:p>
            <w:r>
              <w:t>Photoperiod gate (DN)</w:t>
            </w:r>
          </w:p>
        </w:tc>
        <w:tc>
          <w:tcPr>
            <w:tcW w:type="dxa" w:w="4320"/>
          </w:tcPr>
          <w:p>
            <w:r>
              <w:t>Costa 2021, Durner 1984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B0B0B0"/>
        </w:pBdr>
      </w:pPr>
    </w:p>
    <w:p>
      <w:pPr>
        <w:pStyle w:val="Heading2"/>
      </w:pPr>
      <w:r>
        <w:t>Known gaps</w:t>
      </w:r>
    </w:p>
    <w:p>
      <w:pPr>
        <w:pStyle w:val="ListBullet"/>
      </w:pPr>
      <w:r>
        <w:t>Transplanting → Established and Established → VegetativeGrowth phases are not documented in any of the papers above. These may need calibration from grower trial data or agronomic extension records.</w:t>
      </w:r>
    </w:p>
    <w:p>
      <w:pPr>
        <w:pStyle w:val="ListBullet"/>
      </w:pPr>
      <w:r>
        <w:t>Most open-access datasets use base temperatures of 3°C or 7°C, whereas the current APSIM model uses a beta function with TMin=5°C, TOpt=20°C. Conversion/comparison will be needed.</w:t>
      </w:r>
    </w:p>
    <w:p>
      <w:pPr>
        <w:pStyle w:val="ListBullet"/>
      </w:pPr>
      <w:r>
        <w:t>McWhirt 2023 is greenhouse/hydroponic — field validation data for DN cultivars under Australian conditions would strengthen the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