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2E75B6"/>
          <w:sz w:val="36"/>
          <w:szCs w:val="36"/>
        </w:rPr>
        <w:t xml:space="preserve">Chapter X</w:t>
      </w:r>
    </w:p>
    <w:p>
      <w:pPr>
        <w:spacing w:after="40"/>
        <w:jc w:val="center"/>
      </w:pPr>
      <w:r>
        <w:rPr>
          <w:rFonts w:ascii="Times New Roman" w:cs="Times New Roman" w:eastAsia="Times New Roman" w:hAnsi="Times New Roman"/>
          <w:b/>
          <w:bCs/>
          <w:color w:val="1A1A1A"/>
          <w:sz w:val="44"/>
          <w:szCs w:val="44"/>
        </w:rPr>
        <w:t xml:space="preserve">Multifamily Operations</w:t>
      </w:r>
    </w:p>
    <w:p>
      <w:pPr>
        <w:spacing w:after="80"/>
        <w:jc w:val="center"/>
      </w:pPr>
      <w:r>
        <w:rPr>
          <w:rFonts w:ascii="Times New Roman" w:cs="Times New Roman" w:eastAsia="Times New Roman" w:hAnsi="Times New Roman"/>
          <w:i/>
          <w:iCs/>
          <w:color w:val="666666"/>
          <w:sz w:val="26"/>
          <w:szCs w:val="26"/>
        </w:rPr>
        <w:t xml:space="preserve">The Unified Operating Statement</w:t>
      </w:r>
    </w:p>
    <w:p>
      <w:pPr>
        <w:pBdr>
          <w:bottom w:val="single" w:color="2E75B6" w:sz="6" w:space="1"/>
        </w:pBdr>
        <w:spacing w:after="360"/>
        <w:jc w:val="center"/>
      </w:pPr>
      <w:r>
        <w:rPr>
          <w:rFonts w:ascii="Times New Roman" w:cs="Times New Roman" w:eastAsia="Times New Roman" w:hAnsi="Times New Roman"/>
          <w:sz w:val="10"/>
          <w:szCs w:val="10"/>
        </w:rPr>
        <w:t xml:space="preserve"> </w:t>
      </w:r>
    </w:p>
    <w:p>
      <w:pPr>
        <w:pStyle w:val="Heading1"/>
        <w:spacing w:before="240" w:after="240"/>
      </w:pPr>
      <w:r>
        <w:rPr>
          <w:rFonts w:ascii="Times New Roman" w:cs="Times New Roman" w:eastAsia="Times New Roman" w:hAnsi="Times New Roman"/>
          <w:b/>
          <w:bCs/>
          <w:color w:val="2E75B6"/>
          <w:sz w:val="32"/>
          <w:szCs w:val="32"/>
        </w:rPr>
        <w:t xml:space="preserve">X.1  Overview</w:t>
      </w:r>
    </w:p>
    <w:p>
      <w:pPr>
        <w:spacing w:after="160"/>
      </w:pPr>
      <w:r>
        <w:rPr>
          <w:rFonts w:ascii="Times New Roman" w:cs="Times New Roman" w:eastAsia="Times New Roman" w:hAnsi="Times New Roman"/>
          <w:sz w:val="24"/>
          <w:szCs w:val="24"/>
        </w:rPr>
        <w:t xml:space="preserve">The Operations tab is the financial nerve center of a multifamily project in Landscape. It presents a unified operating statement—a single grid that combines rental income, vacancy and loss deductions, and operating expenses into one continuous P&amp;L view. Unlike traditional tools that scatter income and expense inputs across separate screens, Landscape keeps everything in one place so you can see the full picture from Gross Potential Rent down to Net Operating Income without switching tabs.</w:t>
      </w:r>
    </w:p>
    <w:p>
      <w:pPr>
        <w:spacing w:after="160"/>
      </w:pPr>
      <w:r>
        <w:rPr>
          <w:rFonts w:ascii="Times New Roman" w:cs="Times New Roman" w:eastAsia="Times New Roman" w:hAnsi="Times New Roman"/>
          <w:b/>
          <w:bCs/>
          <w:sz w:val="24"/>
          <w:szCs w:val="24"/>
        </w:rPr>
        <w:t xml:space="preserve">Data Flow. </w:t>
      </w:r>
      <w:r>
        <w:rPr>
          <w:rFonts w:ascii="Times New Roman" w:cs="Times New Roman" w:eastAsia="Times New Roman" w:hAnsi="Times New Roman"/>
          <w:sz w:val="24"/>
          <w:szCs w:val="24"/>
        </w:rPr>
        <w:t xml:space="preserve">The Operations tab does not exist in isolation. Rental income and occupancy data flow into it from the Property tab’s Rent Roll. This means the Rent Roll is the single source of truth for unit-level rents—the Operations tab displays that income as read-only, calculated from actual unit data. Operating expenses can be populated by document ingestion (from a T-12 or offering memorandum) or entered manually. All values ultimately feed downstream into the Income Approach valuation on the Valuation tab.</w:t>
      </w:r>
    </w:p>
    <w:p>
      <w:pPr>
        <w:spacing w:after="160"/>
      </w:pPr>
      <w:r>
        <w:rPr>
          <w:rFonts w:ascii="Times New Roman" w:cs="Times New Roman" w:eastAsia="Times New Roman" w:hAnsi="Times New Roman"/>
          <w:b/>
          <w:bCs/>
          <w:sz w:val="24"/>
          <w:szCs w:val="24"/>
        </w:rPr>
        <w:t xml:space="preserve">Three NOI Bases. </w:t>
      </w:r>
      <w:r>
        <w:rPr>
          <w:rFonts w:ascii="Times New Roman" w:cs="Times New Roman" w:eastAsia="Times New Roman" w:hAnsi="Times New Roman"/>
          <w:sz w:val="24"/>
          <w:szCs w:val="24"/>
        </w:rPr>
        <w:t xml:space="preserve">Landscape calculates NOI across three distinct bases: F-12 Current (trailing twelve months at current contract rents), F-12 Market (trailing twelve months re-stated at market rents), and Stabilized (projected stabilized performance). Each basis occupies its own column in the grid, giving you side-by-side comparison without duplicating data entry.</w:t>
      </w:r>
    </w:p>
    <w:p>
      <w:pPr>
        <w:pStyle w:val="Heading1"/>
        <w:spacing w:before="240" w:after="240"/>
      </w:pPr>
      <w:r>
        <w:rPr>
          <w:rFonts w:ascii="Times New Roman" w:cs="Times New Roman" w:eastAsia="Times New Roman" w:hAnsi="Times New Roman"/>
          <w:b/>
          <w:bCs/>
          <w:color w:val="2E75B6"/>
          <w:sz w:val="32"/>
          <w:szCs w:val="32"/>
        </w:rPr>
        <w:t xml:space="preserve">X.2  Page Layout</w:t>
      </w:r>
    </w:p>
    <w:p>
      <w:pPr>
        <w:spacing w:after="160"/>
      </w:pPr>
      <w:r>
        <w:rPr>
          <w:rFonts w:ascii="Times New Roman" w:cs="Times New Roman" w:eastAsia="Times New Roman" w:hAnsi="Times New Roman"/>
          <w:sz w:val="24"/>
          <w:szCs w:val="24"/>
        </w:rPr>
        <w:t xml:space="preserve">The Operations tab uses an 8-column grid shared across all three sections (Income, Vacancy, Expenses). The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1200"/>
        <w:gridCol w:w="1000"/>
        <w:gridCol w:w="1200"/>
        <w:gridCol w:w="1000"/>
        <w:gridCol w:w="960"/>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Times New Roman" w:cs="Times New Roman" w:eastAsia="Times New Roman" w:hAnsi="Times New Roman"/>
                <w:b/>
                <w:bCs/>
                <w:color w:val="FFFFFF"/>
                <w:sz w:val="22"/>
                <w:szCs w:val="22"/>
              </w:rPr>
              <w:t xml:space="preserve">Label</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Times New Roman" w:cs="Times New Roman" w:eastAsia="Times New Roman" w:hAnsi="Times New Roman"/>
                <w:b/>
                <w:bCs/>
                <w:color w:val="FFFFFF"/>
                <w:sz w:val="22"/>
                <w:szCs w:val="22"/>
              </w:rPr>
              <w:t xml:space="preserve">Units</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Times New Roman" w:cs="Times New Roman" w:eastAsia="Times New Roman" w:hAnsi="Times New Roman"/>
                <w:b/>
                <w:bCs/>
                <w:color w:val="FFFFFF"/>
                <w:sz w:val="22"/>
                <w:szCs w:val="22"/>
              </w:rPr>
              <w:t xml:space="preserve">Current
$/Unit</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Times New Roman" w:cs="Times New Roman" w:eastAsia="Times New Roman" w:hAnsi="Times New Roman"/>
                <w:b/>
                <w:bCs/>
                <w:color w:val="FFFFFF"/>
                <w:sz w:val="22"/>
                <w:szCs w:val="22"/>
              </w:rPr>
              <w:t xml:space="preserve">Annual
Total</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Times New Roman" w:cs="Times New Roman" w:eastAsia="Times New Roman" w:hAnsi="Times New Roman"/>
                <w:b/>
                <w:bCs/>
                <w:color w:val="FFFFFF"/>
                <w:sz w:val="22"/>
                <w:szCs w:val="22"/>
              </w:rPr>
              <w:t xml:space="preserve">$/SF</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Times New Roman" w:cs="Times New Roman" w:eastAsia="Times New Roman" w:hAnsi="Times New Roman"/>
                <w:b/>
                <w:bCs/>
                <w:color w:val="FFFFFF"/>
                <w:sz w:val="22"/>
                <w:szCs w:val="22"/>
              </w:rPr>
              <w:t xml:space="preserve">Loss to
Lease</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Times New Roman" w:cs="Times New Roman" w:eastAsia="Times New Roman" w:hAnsi="Times New Roman"/>
                <w:b/>
                <w:bCs/>
                <w:color w:val="FFFFFF"/>
                <w:sz w:val="22"/>
                <w:szCs w:val="22"/>
              </w:rPr>
              <w:t xml:space="preserve">Post-
Reno</w:t>
            </w:r>
          </w:p>
        </w:tc>
        <w:tc>
          <w:tcPr>
            <w:tcW w:type="dxa" w:w="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Times New Roman" w:cs="Times New Roman" w:eastAsia="Times New Roman" w:hAnsi="Times New Roman"/>
                <w:b/>
                <w:bCs/>
                <w:color w:val="FFFFFF"/>
                <w:sz w:val="22"/>
                <w:szCs w:val="22"/>
              </w:rPr>
              <w:t xml:space="preserve">Reno
Total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Line item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Editable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Calculated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Calculated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Conditional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Conditional</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Conditional</w:t>
            </w:r>
          </w:p>
        </w:tc>
      </w:tr>
    </w:tbl>
    <w:p>
      <w:pPr>
        <w:spacing w:after="16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b/>
          <w:bCs/>
          <w:sz w:val="24"/>
          <w:szCs w:val="24"/>
        </w:rPr>
        <w:t xml:space="preserve">Value-Add Columns. </w:t>
      </w:r>
      <w:r>
        <w:rPr>
          <w:rFonts w:ascii="Times New Roman" w:cs="Times New Roman" w:eastAsia="Times New Roman" w:hAnsi="Times New Roman"/>
          <w:sz w:val="24"/>
          <w:szCs w:val="24"/>
        </w:rPr>
        <w:t xml:space="preserve">The Post-Reno and Reno Total columns are hidden by default. They appear only when a renovation scenario is enabled for the project, showing projected post-renovation income and the combined renovation totals. This keeps the grid clean for standard acquisitions while supporting value-add analysis when needed.</w:t>
      </w:r>
    </w:p>
    <w:p>
      <w:pPr>
        <w:spacing w:after="160"/>
      </w:pPr>
      <w:r>
        <w:rPr>
          <w:rFonts w:ascii="Times New Roman" w:cs="Times New Roman" w:eastAsia="Times New Roman" w:hAnsi="Times New Roman"/>
          <w:b/>
          <w:bCs/>
          <w:sz w:val="24"/>
          <w:szCs w:val="24"/>
        </w:rPr>
        <w:t xml:space="preserve">Detail / Summary Toggle. </w:t>
      </w:r>
      <w:r>
        <w:rPr>
          <w:rFonts w:ascii="Times New Roman" w:cs="Times New Roman" w:eastAsia="Times New Roman" w:hAnsi="Times New Roman"/>
          <w:sz w:val="24"/>
          <w:szCs w:val="24"/>
        </w:rPr>
        <w:t xml:space="preserve">Each section (Income, Vacancy, Expenses) can be collapsed to a single summary row or expanded to show all child line items. Click the chevron icon on any section header to toggle. This lets you focus on the section you’re actively working on while keeping the others compact.</w:t>
      </w:r>
    </w:p>
    <w:p>
      <w:pPr>
        <w:pStyle w:val="Heading1"/>
        <w:spacing w:before="240" w:after="240"/>
      </w:pPr>
      <w:r>
        <w:rPr>
          <w:rFonts w:ascii="Times New Roman" w:cs="Times New Roman" w:eastAsia="Times New Roman" w:hAnsi="Times New Roman"/>
          <w:b/>
          <w:bCs/>
          <w:color w:val="2E75B6"/>
          <w:sz w:val="32"/>
          <w:szCs w:val="32"/>
        </w:rPr>
        <w:t xml:space="preserve">X.3  Operating Income</w:t>
      </w:r>
    </w:p>
    <w:p>
      <w:pPr>
        <w:spacing w:after="160"/>
      </w:pPr>
      <w:r>
        <w:rPr>
          <w:rFonts w:ascii="Times New Roman" w:cs="Times New Roman" w:eastAsia="Times New Roman" w:hAnsi="Times New Roman"/>
          <w:sz w:val="24"/>
          <w:szCs w:val="24"/>
        </w:rPr>
        <w:t xml:space="preserve">The top section of the operating statement displays rental income. These values are read-only on the Operations tab because they are calculated from the Rent Roll on the Property tab. You will see a lock icon next to each rental income line item, indicating the value is sourced from unit-level data rather than manual entry.</w:t>
      </w:r>
    </w:p>
    <w:p>
      <w:pPr>
        <w:spacing w:after="160"/>
      </w:pPr>
      <w:r>
        <w:rPr>
          <w:rFonts w:ascii="Times New Roman" w:cs="Times New Roman" w:eastAsia="Times New Roman" w:hAnsi="Times New Roman"/>
          <w:b/>
          <w:bCs/>
          <w:sz w:val="24"/>
          <w:szCs w:val="24"/>
        </w:rPr>
        <w:t xml:space="preserve">Gross Potential Rent (GPR). </w:t>
      </w:r>
      <w:r>
        <w:rPr>
          <w:rFonts w:ascii="Times New Roman" w:cs="Times New Roman" w:eastAsia="Times New Roman" w:hAnsi="Times New Roman"/>
          <w:sz w:val="24"/>
          <w:szCs w:val="24"/>
        </w:rPr>
        <w:t xml:space="preserve">The total rent the property would generate if every unit were leased at its current contract rent. Calculated automatically from the Rent Roll by summing (monthly rent × 12) across all units.</w:t>
      </w:r>
    </w:p>
    <w:p>
      <w:pPr>
        <w:spacing w:after="160"/>
      </w:pPr>
      <w:r>
        <w:rPr>
          <w:rFonts w:ascii="Times New Roman" w:cs="Times New Roman" w:eastAsia="Times New Roman" w:hAnsi="Times New Roman"/>
          <w:b/>
          <w:bCs/>
          <w:sz w:val="24"/>
          <w:szCs w:val="24"/>
        </w:rPr>
        <w:t xml:space="preserve">Loss to Lease. </w:t>
      </w:r>
      <w:r>
        <w:rPr>
          <w:rFonts w:ascii="Times New Roman" w:cs="Times New Roman" w:eastAsia="Times New Roman" w:hAnsi="Times New Roman"/>
          <w:sz w:val="24"/>
          <w:szCs w:val="24"/>
        </w:rPr>
        <w:t xml:space="preserve">The difference between market rent and contract rent for each occupied unit, annualized. When the Rent Roll contains both current and market rents, Loss to Lease is calculated automatically and displayed in its own column. This value helps quantify the upside from marking existing leases to market at renewal.</w:t>
      </w:r>
    </w:p>
    <w:p>
      <w:pPr>
        <w:spacing w:after="160"/>
      </w:pPr>
      <w:r>
        <w:rPr>
          <w:rFonts w:ascii="Times New Roman" w:cs="Times New Roman" w:eastAsia="Times New Roman" w:hAnsi="Times New Roman"/>
          <w:b/>
          <w:bCs/>
          <w:sz w:val="24"/>
          <w:szCs w:val="24"/>
        </w:rPr>
        <w:t xml:space="preserve">Other Income. </w:t>
      </w:r>
      <w:r>
        <w:rPr>
          <w:rFonts w:ascii="Times New Roman" w:cs="Times New Roman" w:eastAsia="Times New Roman" w:hAnsi="Times New Roman"/>
          <w:sz w:val="24"/>
          <w:szCs w:val="24"/>
        </w:rPr>
        <w:t xml:space="preserve">Non-rental income items such as parking, laundry, pet fees, or utility reimbursements. These can be entered manually or populated from document ingestion.</w:t>
      </w:r>
    </w:p>
    <w:p>
      <w:pPr>
        <w:spacing w:after="160"/>
      </w:pPr>
      <w:r>
        <w:rPr>
          <w:rFonts w:ascii="Times New Roman" w:cs="Times New Roman" w:eastAsia="Times New Roman" w:hAnsi="Times New Roman"/>
          <w:b w:val="false"/>
          <w:bCs w:val="false"/>
          <w:sz w:val="24"/>
          <w:szCs w:val="24"/>
        </w:rPr>
        <w:t xml:space="preserve">To edit rental income figures, </w:t>
      </w:r>
      <w:r>
        <w:rPr>
          <w:rFonts w:ascii="Times New Roman" w:cs="Times New Roman" w:eastAsia="Times New Roman" w:hAnsi="Times New Roman"/>
          <w:b/>
          <w:bCs/>
          <w:sz w:val="24"/>
          <w:szCs w:val="24"/>
        </w:rPr>
        <w:t xml:space="preserve">navigate to the Property tab’s Rent Roll</w:t>
      </w:r>
      <w:r>
        <w:rPr>
          <w:rFonts w:ascii="Times New Roman" w:cs="Times New Roman" w:eastAsia="Times New Roman" w:hAnsi="Times New Roman"/>
          <w:b w:val="false"/>
          <w:bCs w:val="false"/>
          <w:sz w:val="24"/>
          <w:szCs w:val="24"/>
        </w:rPr>
        <w:t xml:space="preserve"> and update the unit-level rents there. Changes flow automatically into the Operations tab.</w:t>
      </w:r>
    </w:p>
    <w:p>
      <w:pPr>
        <w:pStyle w:val="Heading1"/>
        <w:spacing w:before="240" w:after="240"/>
      </w:pPr>
      <w:r>
        <w:rPr>
          <w:rFonts w:ascii="Times New Roman" w:cs="Times New Roman" w:eastAsia="Times New Roman" w:hAnsi="Times New Roman"/>
          <w:b/>
          <w:bCs/>
          <w:color w:val="2E75B6"/>
          <w:sz w:val="32"/>
          <w:szCs w:val="32"/>
        </w:rPr>
        <w:t xml:space="preserve">X.4  Vacancy and Loss Deductions</w:t>
      </w:r>
    </w:p>
    <w:p>
      <w:pPr>
        <w:spacing w:after="160"/>
      </w:pPr>
      <w:r>
        <w:rPr>
          <w:rFonts w:ascii="Times New Roman" w:cs="Times New Roman" w:eastAsia="Times New Roman" w:hAnsi="Times New Roman"/>
          <w:sz w:val="24"/>
          <w:szCs w:val="24"/>
        </w:rPr>
        <w:t xml:space="preserve">Below Operating Income, the vacancy section shows all deductions from gross revenue. Landscape supports multiple vacancy and loss line items, each as a percentage of GPR:</w:t>
      </w:r>
    </w:p>
    <w:p>
      <w:pPr>
        <w:spacing w:after="160"/>
      </w:pPr>
      <w:r>
        <w:rPr>
          <w:rFonts w:ascii="Times New Roman" w:cs="Times New Roman" w:eastAsia="Times New Roman" w:hAnsi="Times New Roman"/>
          <w:b/>
          <w:bCs/>
          <w:sz w:val="24"/>
          <w:szCs w:val="24"/>
        </w:rPr>
        <w:t xml:space="preserve">Physical Vacancy. </w:t>
      </w:r>
      <w:r>
        <w:rPr>
          <w:rFonts w:ascii="Times New Roman" w:cs="Times New Roman" w:eastAsia="Times New Roman" w:hAnsi="Times New Roman"/>
          <w:sz w:val="24"/>
          <w:szCs w:val="24"/>
        </w:rPr>
        <w:t xml:space="preserve">Represents unleased units. When a Rent Roll exists, physical vacancy is calculated automatically from unit occupancy data and displayed with a lock icon. You can override the calculated value by clicking the lock (see Section X.6 on provenance icons), which switches it to manual entry mode.</w:t>
      </w:r>
    </w:p>
    <w:p>
      <w:pPr>
        <w:spacing w:after="160"/>
      </w:pPr>
      <w:r>
        <w:rPr>
          <w:rFonts w:ascii="Times New Roman" w:cs="Times New Roman" w:eastAsia="Times New Roman" w:hAnsi="Times New Roman"/>
          <w:b/>
          <w:bCs/>
          <w:sz w:val="24"/>
          <w:szCs w:val="24"/>
        </w:rPr>
        <w:t xml:space="preserve">Economic Vacancy. </w:t>
      </w:r>
      <w:r>
        <w:rPr>
          <w:rFonts w:ascii="Times New Roman" w:cs="Times New Roman" w:eastAsia="Times New Roman" w:hAnsi="Times New Roman"/>
          <w:sz w:val="24"/>
          <w:szCs w:val="24"/>
        </w:rPr>
        <w:t xml:space="preserve">Captures revenue loss from occupied-but-non-paying units, such as tenants in eviction proceedings, model units, or employee-occupied units.</w:t>
      </w:r>
    </w:p>
    <w:p>
      <w:pPr>
        <w:spacing w:after="160"/>
      </w:pPr>
      <w:r>
        <w:rPr>
          <w:rFonts w:ascii="Times New Roman" w:cs="Times New Roman" w:eastAsia="Times New Roman" w:hAnsi="Times New Roman"/>
          <w:b/>
          <w:bCs/>
          <w:sz w:val="24"/>
          <w:szCs w:val="24"/>
        </w:rPr>
        <w:t xml:space="preserve">Concessions. </w:t>
      </w:r>
      <w:r>
        <w:rPr>
          <w:rFonts w:ascii="Times New Roman" w:cs="Times New Roman" w:eastAsia="Times New Roman" w:hAnsi="Times New Roman"/>
          <w:sz w:val="24"/>
          <w:szCs w:val="24"/>
        </w:rPr>
        <w:t xml:space="preserve">Rent discounts, free-rent periods, and other lease incentives expressed as a percentage of GPR.</w:t>
      </w:r>
    </w:p>
    <w:p>
      <w:pPr>
        <w:spacing w:after="160"/>
      </w:pPr>
      <w:r>
        <w:rPr>
          <w:rFonts w:ascii="Times New Roman" w:cs="Times New Roman" w:eastAsia="Times New Roman" w:hAnsi="Times New Roman"/>
          <w:b/>
          <w:bCs/>
          <w:sz w:val="24"/>
          <w:szCs w:val="24"/>
        </w:rPr>
        <w:t xml:space="preserve">Bad Debt / Collection Loss. </w:t>
      </w:r>
      <w:r>
        <w:rPr>
          <w:rFonts w:ascii="Times New Roman" w:cs="Times New Roman" w:eastAsia="Times New Roman" w:hAnsi="Times New Roman"/>
          <w:sz w:val="24"/>
          <w:szCs w:val="24"/>
        </w:rPr>
        <w:t xml:space="preserve">Historical non-payment losses, typically drawn from T-12 operating statement data.</w:t>
      </w:r>
    </w:p>
    <w:p>
      <w:pPr>
        <w:spacing w:after="160"/>
      </w:pPr>
      <w:r>
        <w:rPr>
          <w:rFonts w:ascii="Times New Roman" w:cs="Times New Roman" w:eastAsia="Times New Roman" w:hAnsi="Times New Roman"/>
          <w:sz w:val="24"/>
          <w:szCs w:val="24"/>
        </w:rPr>
        <w:t xml:space="preserve">When collapsed, the Vacancy section shows a single summary row with the total deduction percentage and dollar amount. Expanding it reveals each line item individually.</w:t>
      </w:r>
    </w:p>
    <w:p>
      <w:pPr>
        <w:pStyle w:val="Heading1"/>
        <w:spacing w:before="240" w:after="240"/>
      </w:pPr>
      <w:r>
        <w:rPr>
          <w:rFonts w:ascii="Times New Roman" w:cs="Times New Roman" w:eastAsia="Times New Roman" w:hAnsi="Times New Roman"/>
          <w:b/>
          <w:bCs/>
          <w:color w:val="2E75B6"/>
          <w:sz w:val="32"/>
          <w:szCs w:val="32"/>
        </w:rPr>
        <w:t xml:space="preserve">X.5  Operating Expenses</w:t>
      </w:r>
    </w:p>
    <w:p>
      <w:pPr>
        <w:spacing w:after="160"/>
      </w:pPr>
      <w:r>
        <w:rPr>
          <w:rFonts w:ascii="Times New Roman" w:cs="Times New Roman" w:eastAsia="Times New Roman" w:hAnsi="Times New Roman"/>
          <w:sz w:val="24"/>
          <w:szCs w:val="24"/>
        </w:rPr>
        <w:t xml:space="preserve">Operating expenses occupy the bottom portion of the unified grid. They are organized into parent categories (Taxes, Insurance, Utilities, Repairs &amp; Maintenance, Management, Other) with child line items underneath. The category filter pills at the top of the expense section let you quickly isolate a single category for focused review.</w:t>
      </w:r>
    </w:p>
    <w:p>
      <w:pPr>
        <w:pStyle w:val="Heading2"/>
        <w:spacing w:before="200" w:after="160"/>
      </w:pPr>
      <w:r>
        <w:rPr>
          <w:rFonts w:ascii="Times New Roman" w:cs="Times New Roman" w:eastAsia="Times New Roman" w:hAnsi="Times New Roman"/>
          <w:b/>
          <w:bCs/>
          <w:color w:val="333333"/>
          <w:sz w:val="28"/>
          <w:szCs w:val="28"/>
        </w:rPr>
        <w:t xml:space="preserve">X.5.1  Editing Expenses</w:t>
      </w:r>
    </w:p>
    <w:p>
      <w:pPr>
        <w:spacing w:after="160"/>
      </w:pPr>
      <w:r>
        <w:rPr>
          <w:rFonts w:ascii="Times New Roman" w:cs="Times New Roman" w:eastAsia="Times New Roman" w:hAnsi="Times New Roman"/>
          <w:sz w:val="24"/>
          <w:szCs w:val="24"/>
        </w:rPr>
        <w:t xml:space="preserve">Expense values are entered in the $/Unit column. When you type or change a per-unit value, the Annual Total recalculates immediately ($/Unit × unit count). The $/SF column also updates in real time based on total building square footage.</w:t>
      </w:r>
    </w:p>
    <w:p>
      <w:pPr>
        <w:spacing w:after="160"/>
      </w:pPr>
      <w:r>
        <w:rPr>
          <w:rFonts w:ascii="Times New Roman" w:cs="Times New Roman" w:eastAsia="Times New Roman" w:hAnsi="Times New Roman"/>
          <w:b/>
          <w:bCs/>
          <w:sz w:val="24"/>
          <w:szCs w:val="24"/>
        </w:rPr>
        <w:t xml:space="preserve">Inline Category Editing. </w:t>
      </w:r>
      <w:r>
        <w:rPr>
          <w:rFonts w:ascii="Times New Roman" w:cs="Times New Roman" w:eastAsia="Times New Roman" w:hAnsi="Times New Roman"/>
          <w:sz w:val="24"/>
          <w:szCs w:val="24"/>
        </w:rPr>
        <w:t xml:space="preserve">Double-click any expense child row’s label to reassign it to a different category. A dropdown appears showing available categories from the cost category system (account numbers in the 4xxx range). The format displays as the account number followed by a dash and the category name, such as “4110 — Property Taxes.”</w:t>
      </w:r>
    </w:p>
    <w:p>
      <w:pPr>
        <w:pStyle w:val="Heading2"/>
        <w:spacing w:before="200" w:after="160"/>
      </w:pPr>
      <w:r>
        <w:rPr>
          <w:rFonts w:ascii="Times New Roman" w:cs="Times New Roman" w:eastAsia="Times New Roman" w:hAnsi="Times New Roman"/>
          <w:b/>
          <w:bCs/>
          <w:color w:val="333333"/>
          <w:sz w:val="28"/>
          <w:szCs w:val="28"/>
        </w:rPr>
        <w:t xml:space="preserve">X.5.2  Drag-and-Drop Recategorization</w:t>
      </w:r>
    </w:p>
    <w:p>
      <w:pPr>
        <w:spacing w:after="160"/>
      </w:pPr>
      <w:r>
        <w:rPr>
          <w:rFonts w:ascii="Times New Roman" w:cs="Times New Roman" w:eastAsia="Times New Roman" w:hAnsi="Times New Roman"/>
          <w:sz w:val="24"/>
          <w:szCs w:val="24"/>
        </w:rPr>
        <w:t xml:space="preserve">You can also drag expense line items between parent categories. Grab a child row by its drag handle (the grip icon on the left edge) and drop it onto a different parent category header. The item’s category assignment updates immediately and the parent totals recalculate.</w:t>
      </w:r>
    </w:p>
    <w:p>
      <w:pPr>
        <w:pStyle w:val="Heading2"/>
        <w:spacing w:before="200" w:after="160"/>
      </w:pPr>
      <w:r>
        <w:rPr>
          <w:rFonts w:ascii="Times New Roman" w:cs="Times New Roman" w:eastAsia="Times New Roman" w:hAnsi="Times New Roman"/>
          <w:b/>
          <w:bCs/>
          <w:color w:val="333333"/>
          <w:sz w:val="28"/>
          <w:szCs w:val="28"/>
        </w:rPr>
        <w:t xml:space="preserve">X.5.3  Adding and Removing Line Items</w:t>
      </w:r>
    </w:p>
    <w:p>
      <w:pPr>
        <w:spacing w:after="160"/>
      </w:pPr>
      <w:r>
        <w:rPr>
          <w:rFonts w:ascii="Times New Roman" w:cs="Times New Roman" w:eastAsia="Times New Roman" w:hAnsi="Times New Roman"/>
          <w:sz w:val="24"/>
          <w:szCs w:val="24"/>
        </w:rPr>
        <w:t xml:space="preserve">To add a new expense line item, select one or more existing rows within a category (click to toggle, Shift+click for range selection), then click the “+” button that appears on the parent category header. A picklist dropdown appears showing available child categories from the cost category system. Select one, or type a custom name if no standard category fits.</w:t>
      </w:r>
    </w:p>
    <w:p>
      <w:pPr>
        <w:spacing w:after="160"/>
      </w:pPr>
      <w:r>
        <w:rPr>
          <w:rFonts w:ascii="Times New Roman" w:cs="Times New Roman" w:eastAsia="Times New Roman" w:hAnsi="Times New Roman"/>
          <w:sz w:val="24"/>
          <w:szCs w:val="24"/>
        </w:rPr>
        <w:t xml:space="preserve">To remove line items, select the rows and click the “–” button on the parent header. Removed items are deleted from the operating statement. If the item was ingested from a document, the original extracted value is preserved in the ingestion log for reference.</w:t>
      </w:r>
    </w:p>
    <w:p>
      <w:pPr>
        <w:pStyle w:val="Heading1"/>
        <w:pageBreakBefore/>
        <w:spacing w:before="240" w:after="240"/>
      </w:pPr>
      <w:r>
        <w:rPr>
          <w:rFonts w:ascii="Times New Roman" w:cs="Times New Roman" w:eastAsia="Times New Roman" w:hAnsi="Times New Roman"/>
          <w:b/>
          <w:bCs/>
          <w:color w:val="2E75B6"/>
          <w:sz w:val="32"/>
          <w:szCs w:val="32"/>
        </w:rPr>
        <w:t xml:space="preserve">X.6  Data Provenance Icons</w:t>
      </w:r>
    </w:p>
    <w:p>
      <w:pPr>
        <w:spacing w:after="160"/>
      </w:pPr>
      <w:r>
        <w:rPr>
          <w:rFonts w:ascii="Times New Roman" w:cs="Times New Roman" w:eastAsia="Times New Roman" w:hAnsi="Times New Roman"/>
          <w:sz w:val="24"/>
          <w:szCs w:val="24"/>
        </w:rPr>
        <w:t xml:space="preserve">Landscape tracks where every value in the operating statement came from. When documents like an offering memorandum, T-12 operating statement, or rent roll are ingested through the Ingestion Workbench, extracted values carry a provenance tag that persists in the database. The Operations tab surfaces this provenance visually through small icons next to each editable field.</w:t>
      </w:r>
    </w:p>
    <w:p>
      <w:pPr>
        <w:pStyle w:val="Heading2"/>
        <w:spacing w:before="200" w:after="160"/>
      </w:pPr>
      <w:r>
        <w:rPr>
          <w:rFonts w:ascii="Times New Roman" w:cs="Times New Roman" w:eastAsia="Times New Roman" w:hAnsi="Times New Roman"/>
          <w:b/>
          <w:bCs/>
          <w:color w:val="333333"/>
          <w:sz w:val="28"/>
          <w:szCs w:val="28"/>
        </w:rPr>
        <w:t xml:space="preserve">X.6.1  The Three States</w:t>
      </w:r>
    </w:p>
    <w:p>
      <w:pPr>
        <w:spacing w:after="160"/>
      </w:pPr>
      <w:r>
        <w:rPr>
          <w:rFonts w:ascii="Times New Roman" w:cs="Times New Roman" w:eastAsia="Times New Roman" w:hAnsi="Times New Roman"/>
          <w:sz w:val="24"/>
          <w:szCs w:val="24"/>
        </w:rPr>
        <w:t xml:space="preserve">Every editable field in the operating statement exists in one of three provenance states, each indicated by a distinct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Times New Roman" w:cs="Times New Roman" w:eastAsia="Times New Roman" w:hAnsi="Times New Roman"/>
                <w:b/>
                <w:bCs/>
                <w:color w:val="FFFFFF"/>
                <w:sz w:val="22"/>
                <w:szCs w:val="22"/>
              </w:rPr>
              <w:t xml:space="preserve">Icon</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Times New Roman" w:cs="Times New Roman" w:eastAsia="Times New Roman" w:hAnsi="Times New Roman"/>
                <w:b/>
                <w:bCs/>
                <w:color w:val="FFFFFF"/>
                <w:sz w:val="22"/>
                <w:szCs w:val="22"/>
              </w:rPr>
              <w:t xml:space="preserve">State</w:t>
            </w:r>
          </w:p>
        </w:tc>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Times New Roman" w:cs="Times New Roman" w:eastAsia="Times New Roman" w:hAnsi="Times New Roman"/>
                <w:b/>
                <w:bCs/>
                <w:color w:val="FFFFFF"/>
                <w:sz w:val="22"/>
                <w:szCs w:val="22"/>
              </w:rPr>
              <w:t xml:space="preserve">Meaning</w:t>
            </w:r>
          </w:p>
        </w:tc>
        <w:tc>
          <w:tcPr>
            <w:tcW w:type="dxa" w:w="3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Times New Roman" w:cs="Times New Roman" w:eastAsia="Times New Roman" w:hAnsi="Times New Roman"/>
                <w:b/>
                <w:bCs/>
                <w:color w:val="FFFFFF"/>
                <w:sz w:val="22"/>
                <w:szCs w:val="22"/>
              </w:rPr>
              <w:t xml:space="preserve">Click Behavior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Lock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Ingested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Times New Roman" w:cs="Times New Roman" w:eastAsia="Times New Roman" w:hAnsi="Times New Roman"/>
                <w:sz w:val="22"/>
                <w:szCs w:val="22"/>
              </w:rPr>
              <w:t xml:space="preserve">Value was extracted from an uploaded document. The source document is linked.</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Times New Roman" w:cs="Times New Roman" w:eastAsia="Times New Roman" w:hAnsi="Times New Roman"/>
                <w:sz w:val="22"/>
                <w:szCs w:val="22"/>
              </w:rPr>
              <w:t xml:space="preserve">Breaks the document link. Field becomes manually editable. Icon changes to Input.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Input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User-Entered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Value was manually entered by the user. No source document.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No action. There is no extracted value to revert to.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Input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Times New Roman" w:cs="Times New Roman" w:eastAsia="Times New Roman" w:hAnsi="Times New Roman"/>
                <w:sz w:val="22"/>
                <w:szCs w:val="22"/>
              </w:rPr>
              <w:t xml:space="preserve">User-Modified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Times New Roman" w:cs="Times New Roman" w:eastAsia="Times New Roman" w:hAnsi="Times New Roman"/>
                <w:sz w:val="22"/>
                <w:szCs w:val="22"/>
              </w:rPr>
              <w:t xml:space="preserve">Value was originally extracted, then overridden by the user.</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Reverts to the original extracted value. Prompts for confirmation if the difference exceeds 10%.</w:t>
            </w:r>
          </w:p>
        </w:tc>
      </w:tr>
    </w:tbl>
    <w:p>
      <w:pPr>
        <w:spacing w:after="16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b/>
          <w:bCs/>
          <w:sz w:val="24"/>
          <w:szCs w:val="24"/>
        </w:rPr>
        <w:t xml:space="preserve">Calculated Rows. </w:t>
      </w:r>
      <w:r>
        <w:rPr>
          <w:rFonts w:ascii="Times New Roman" w:cs="Times New Roman" w:eastAsia="Times New Roman" w:hAnsi="Times New Roman"/>
          <w:sz w:val="24"/>
          <w:szCs w:val="24"/>
        </w:rPr>
        <w:t xml:space="preserve">Summary and total rows (such as Effective Gross Income, Total Operating Expenses, and Net Operating Income) do not display a provenance icon. These are derived values, calculated from the line items above them. They are never directly editable.</w:t>
      </w:r>
    </w:p>
    <w:p>
      <w:pPr>
        <w:pStyle w:val="Heading2"/>
        <w:spacing w:before="200" w:after="160"/>
      </w:pPr>
      <w:r>
        <w:rPr>
          <w:rFonts w:ascii="Times New Roman" w:cs="Times New Roman" w:eastAsia="Times New Roman" w:hAnsi="Times New Roman"/>
          <w:b/>
          <w:bCs/>
          <w:color w:val="333333"/>
          <w:sz w:val="28"/>
          <w:szCs w:val="28"/>
        </w:rPr>
        <w:t xml:space="preserve">X.6.2  The Lock Icon in Detail</w:t>
      </w:r>
    </w:p>
    <w:p>
      <w:pPr>
        <w:spacing w:after="160"/>
      </w:pPr>
      <w:r>
        <w:rPr>
          <w:rFonts w:ascii="Times New Roman" w:cs="Times New Roman" w:eastAsia="Times New Roman" w:hAnsi="Times New Roman"/>
          <w:sz w:val="24"/>
          <w:szCs w:val="24"/>
        </w:rPr>
        <w:t xml:space="preserve">The lock icon appears whenever a field’s value was populated by Landscape’s document ingestion engine. It serves two purposes: first, it tells you at a glance that this number came from a source document (not from manual entry or a guess). Second, it acts as a toggle—clicking it breaks the link to the source document and lets you enter your own value.</w:t>
      </w:r>
    </w:p>
    <w:p>
      <w:pPr>
        <w:spacing w:after="160"/>
      </w:pPr>
      <w:r>
        <w:rPr>
          <w:rFonts w:ascii="Times New Roman" w:cs="Times New Roman" w:eastAsia="Times New Roman" w:hAnsi="Times New Roman"/>
          <w:sz w:val="24"/>
          <w:szCs w:val="24"/>
        </w:rPr>
        <w:t xml:space="preserve">When you click a lock icon:</w:t>
      </w:r>
    </w:p>
    <w:p>
      <w:pPr>
        <w:pStyle w:val="ListParagraph"/>
        <w:numPr>
          <w:ilvl w:val="0"/>
          <w:numId w:val="2"/>
        </w:numPr>
        <w:spacing w:after="160"/>
      </w:pPr>
      <w:r>
        <w:rPr>
          <w:rFonts w:ascii="Times New Roman" w:cs="Times New Roman" w:eastAsia="Times New Roman" w:hAnsi="Times New Roman"/>
          <w:sz w:val="24"/>
          <w:szCs w:val="24"/>
        </w:rPr>
        <w:t xml:space="preserve">The field becomes editable and the cursor is placed in the cell.</w:t>
      </w:r>
    </w:p>
    <w:p>
      <w:pPr>
        <w:pStyle w:val="ListParagraph"/>
        <w:numPr>
          <w:ilvl w:val="0"/>
          <w:numId w:val="2"/>
        </w:numPr>
        <w:spacing w:after="160"/>
      </w:pPr>
      <w:r>
        <w:rPr>
          <w:rFonts w:ascii="Times New Roman" w:cs="Times New Roman" w:eastAsia="Times New Roman" w:hAnsi="Times New Roman"/>
          <w:sz w:val="24"/>
          <w:szCs w:val="24"/>
        </w:rPr>
        <w:t xml:space="preserve">The icon changes from the lock to the input icon, indicating the value is now user-controlled.</w:t>
      </w:r>
    </w:p>
    <w:p>
      <w:pPr>
        <w:pStyle w:val="ListParagraph"/>
        <w:numPr>
          <w:ilvl w:val="0"/>
          <w:numId w:val="2"/>
        </w:numPr>
        <w:spacing w:after="160"/>
      </w:pPr>
      <w:r>
        <w:rPr>
          <w:rFonts w:ascii="Times New Roman" w:cs="Times New Roman" w:eastAsia="Times New Roman" w:hAnsi="Times New Roman"/>
          <w:sz w:val="24"/>
          <w:szCs w:val="24"/>
        </w:rPr>
        <w:t xml:space="preserve">The provenance state in the database updates from “ingestion” to “user_modified.”</w:t>
      </w:r>
    </w:p>
    <w:p>
      <w:pPr>
        <w:spacing w:after="160"/>
      </w:pPr>
      <w:r>
        <w:rPr>
          <w:rFonts w:ascii="Times New Roman" w:cs="Times New Roman" w:eastAsia="Times New Roman" w:hAnsi="Times New Roman"/>
          <w:sz w:val="24"/>
          <w:szCs w:val="24"/>
        </w:rPr>
        <w:t xml:space="preserve">You have not lost the original extracted value. It is preserved in the ingestion log and can be restored by clicking the input icon again (see Reverting below).</w:t>
      </w:r>
    </w:p>
    <w:p>
      <w:pPr>
        <w:pStyle w:val="Heading2"/>
        <w:spacing w:before="200" w:after="160"/>
      </w:pPr>
      <w:r>
        <w:rPr>
          <w:rFonts w:ascii="Times New Roman" w:cs="Times New Roman" w:eastAsia="Times New Roman" w:hAnsi="Times New Roman"/>
          <w:b/>
          <w:bCs/>
          <w:color w:val="333333"/>
          <w:sz w:val="28"/>
          <w:szCs w:val="28"/>
        </w:rPr>
        <w:t xml:space="preserve">X.6.3  The Input Icon in Detail</w:t>
      </w:r>
    </w:p>
    <w:p>
      <w:pPr>
        <w:spacing w:after="160"/>
      </w:pPr>
      <w:r>
        <w:rPr>
          <w:rFonts w:ascii="Times New Roman" w:cs="Times New Roman" w:eastAsia="Times New Roman" w:hAnsi="Times New Roman"/>
          <w:sz w:val="24"/>
          <w:szCs w:val="24"/>
        </w:rPr>
        <w:t xml:space="preserve">The input icon indicates a manually-entered value. There are two scenarios where it appears:</w:t>
      </w:r>
    </w:p>
    <w:p>
      <w:pPr>
        <w:spacing w:after="160"/>
      </w:pPr>
      <w:r>
        <w:rPr>
          <w:rFonts w:ascii="Times New Roman" w:cs="Times New Roman" w:eastAsia="Times New Roman" w:hAnsi="Times New Roman"/>
          <w:b/>
          <w:bCs/>
          <w:sz w:val="24"/>
          <w:szCs w:val="24"/>
        </w:rPr>
        <w:t xml:space="preserve">Pure Manual Entry. </w:t>
      </w:r>
      <w:r>
        <w:rPr>
          <w:rFonts w:ascii="Times New Roman" w:cs="Times New Roman" w:eastAsia="Times New Roman" w:hAnsi="Times New Roman"/>
          <w:sz w:val="24"/>
          <w:szCs w:val="24"/>
        </w:rPr>
        <w:t xml:space="preserve">The field was never populated by document ingestion. You entered the value yourself. In this case, clicking the input icon does nothing—there is no extracted value to revert to.</w:t>
      </w:r>
    </w:p>
    <w:p>
      <w:pPr>
        <w:spacing w:after="160"/>
      </w:pPr>
      <w:r>
        <w:rPr>
          <w:rFonts w:ascii="Times New Roman" w:cs="Times New Roman" w:eastAsia="Times New Roman" w:hAnsi="Times New Roman"/>
          <w:b/>
          <w:bCs/>
          <w:sz w:val="24"/>
          <w:szCs w:val="24"/>
        </w:rPr>
        <w:t xml:space="preserve">Overridden Extraction. </w:t>
      </w:r>
      <w:r>
        <w:rPr>
          <w:rFonts w:ascii="Times New Roman" w:cs="Times New Roman" w:eastAsia="Times New Roman" w:hAnsi="Times New Roman"/>
          <w:sz w:val="24"/>
          <w:szCs w:val="24"/>
        </w:rPr>
        <w:t xml:space="preserve">The field was originally populated by ingestion, but you clicked the lock to override it and entered your own value. Clicking the input icon in this case reverts the field to the original extracted value. If your override differs from the extracted value by more than 10%, Landscape prompts you to confirm the revert before executing it.</w:t>
      </w:r>
    </w:p>
    <w:p>
      <w:pPr>
        <w:pStyle w:val="Heading2"/>
        <w:spacing w:before="200" w:after="160"/>
      </w:pPr>
      <w:r>
        <w:rPr>
          <w:rFonts w:ascii="Times New Roman" w:cs="Times New Roman" w:eastAsia="Times New Roman" w:hAnsi="Times New Roman"/>
          <w:b/>
          <w:bCs/>
          <w:color w:val="333333"/>
          <w:sz w:val="28"/>
          <w:szCs w:val="28"/>
        </w:rPr>
        <w:t xml:space="preserve">X.6.4  Physical Vacancy: A Special Case</w:t>
      </w:r>
    </w:p>
    <w:p>
      <w:pPr>
        <w:spacing w:after="160"/>
      </w:pPr>
      <w:r>
        <w:rPr>
          <w:rFonts w:ascii="Times New Roman" w:cs="Times New Roman" w:eastAsia="Times New Roman" w:hAnsi="Times New Roman"/>
          <w:sz w:val="24"/>
          <w:szCs w:val="24"/>
        </w:rPr>
        <w:t xml:space="preserve">Physical vacancy does not follow the standard provenance model. Instead of relying on the source column in the operating expenses table, physical vacancy’s lock state is driven by whether a Rent Roll exists for the project.</w:t>
      </w:r>
    </w:p>
    <w:p>
      <w:pPr>
        <w:spacing w:after="160"/>
      </w:pPr>
      <w:r>
        <w:rPr>
          <w:rFonts w:ascii="Times New Roman" w:cs="Times New Roman" w:eastAsia="Times New Roman" w:hAnsi="Times New Roman"/>
          <w:sz w:val="24"/>
          <w:szCs w:val="24"/>
        </w:rPr>
        <w:t xml:space="preserve">When a Rent Roll is present, physical vacancy is calculated from actual unit occupancy data and displayed with a lock icon. The calculation is straightforward: (vacant units ÷ total units) × 100. Clicking the lock overrides the calculated value and lets you enter a manual vacancy percentage—useful when you believe the current vacancy snapshot is not representative of stabilized performance.</w:t>
      </w:r>
    </w:p>
    <w:p>
      <w:pPr>
        <w:spacing w:after="160"/>
      </w:pPr>
      <w:r>
        <w:rPr>
          <w:rFonts w:ascii="Times New Roman" w:cs="Times New Roman" w:eastAsia="Times New Roman" w:hAnsi="Times New Roman"/>
          <w:sz w:val="24"/>
          <w:szCs w:val="24"/>
        </w:rPr>
        <w:t xml:space="preserve">When no Rent Roll is present, physical vacancy displays with the input icon and is fully editable from the start, since there is no unit-level data to calculate from.</w:t>
      </w:r>
    </w:p>
    <w:p>
      <w:pPr>
        <w:pStyle w:val="Heading2"/>
        <w:spacing w:before="200" w:after="160"/>
      </w:pPr>
      <w:r>
        <w:rPr>
          <w:rFonts w:ascii="Times New Roman" w:cs="Times New Roman" w:eastAsia="Times New Roman" w:hAnsi="Times New Roman"/>
          <w:b/>
          <w:bCs/>
          <w:color w:val="333333"/>
          <w:sz w:val="28"/>
          <w:szCs w:val="28"/>
        </w:rPr>
        <w:t xml:space="preserve">X.6.5  Why Provenance Matters</w:t>
      </w:r>
    </w:p>
    <w:p>
      <w:pPr>
        <w:spacing w:after="160"/>
      </w:pPr>
      <w:r>
        <w:rPr>
          <w:rFonts w:ascii="Times New Roman" w:cs="Times New Roman" w:eastAsia="Times New Roman" w:hAnsi="Times New Roman"/>
          <w:sz w:val="24"/>
          <w:szCs w:val="24"/>
        </w:rPr>
        <w:t xml:space="preserve">In underwriting, knowing where a number came from is as important as the number itself. An appraiser reviewing your analysis needs to distinguish between values extracted from a broker’s offering memorandum, values pulled from a certified T-12 operating statement, and assumptions you entered manually. The provenance icons make this distinction visible at a glance without requiring the user to dig into an audit log.</w:t>
      </w:r>
    </w:p>
    <w:p>
      <w:pPr>
        <w:spacing w:after="160"/>
      </w:pPr>
      <w:r>
        <w:rPr>
          <w:rFonts w:ascii="Times New Roman" w:cs="Times New Roman" w:eastAsia="Times New Roman" w:hAnsi="Times New Roman"/>
          <w:sz w:val="24"/>
          <w:szCs w:val="24"/>
        </w:rPr>
        <w:t xml:space="preserve">This transparency also helps during the iterative process of underwriting. As you refine your assumptions—overriding some extracted values, accepting others—the icons provide a visual map of which parts of your operating statement are source-backed and which reflect your own judgment.</w:t>
      </w:r>
    </w:p>
    <w:p>
      <w:pPr>
        <w:pStyle w:val="Heading1"/>
        <w:spacing w:before="240" w:after="240"/>
      </w:pPr>
      <w:r>
        <w:rPr>
          <w:rFonts w:ascii="Times New Roman" w:cs="Times New Roman" w:eastAsia="Times New Roman" w:hAnsi="Times New Roman"/>
          <w:b/>
          <w:bCs/>
          <w:color w:val="2E75B6"/>
          <w:sz w:val="32"/>
          <w:szCs w:val="32"/>
        </w:rPr>
        <w:t xml:space="preserve">X.7  Working with Ingested Data</w:t>
      </w:r>
    </w:p>
    <w:p>
      <w:pPr>
        <w:spacing w:after="160"/>
      </w:pPr>
      <w:r>
        <w:rPr>
          <w:rFonts w:ascii="Times New Roman" w:cs="Times New Roman" w:eastAsia="Times New Roman" w:hAnsi="Times New Roman"/>
          <w:sz w:val="24"/>
          <w:szCs w:val="24"/>
        </w:rPr>
        <w:t xml:space="preserve">When you ingest a document through the Ingestion Workbench (see Chapter 4), extracted operating expense and income values flow into the Operations tab with their provenance tags set to “ingestion.” All ingested fields display the lock icon.</w:t>
      </w:r>
    </w:p>
    <w:p>
      <w:pPr>
        <w:pStyle w:val="Heading2"/>
        <w:spacing w:before="200" w:after="160"/>
      </w:pPr>
      <w:r>
        <w:rPr>
          <w:rFonts w:ascii="Times New Roman" w:cs="Times New Roman" w:eastAsia="Times New Roman" w:hAnsi="Times New Roman"/>
          <w:b/>
          <w:bCs/>
          <w:color w:val="333333"/>
          <w:sz w:val="28"/>
          <w:szCs w:val="28"/>
        </w:rPr>
        <w:t xml:space="preserve">X.7.1  Typical Workflow</w:t>
      </w:r>
    </w:p>
    <w:p>
      <w:pPr>
        <w:spacing w:after="160"/>
      </w:pPr>
      <w:r>
        <w:rPr>
          <w:rFonts w:ascii="Times New Roman" w:cs="Times New Roman" w:eastAsia="Times New Roman" w:hAnsi="Times New Roman"/>
          <w:sz w:val="24"/>
          <w:szCs w:val="24"/>
        </w:rPr>
        <w:t xml:space="preserve">A common workflow after ingesting a T-12 or offering memorandum:</w:t>
      </w:r>
    </w:p>
    <w:p>
      <w:pPr>
        <w:pStyle w:val="ListParagraph"/>
        <w:numPr>
          <w:ilvl w:val="0"/>
          <w:numId w:val="2"/>
        </w:numPr>
        <w:spacing w:after="160"/>
      </w:pPr>
      <w:r>
        <w:rPr>
          <w:rFonts w:ascii="Times New Roman" w:cs="Times New Roman" w:eastAsia="Times New Roman" w:hAnsi="Times New Roman"/>
          <w:sz w:val="24"/>
          <w:szCs w:val="24"/>
        </w:rPr>
        <w:t xml:space="preserve">Review the Operations tab. Scan the lock icons to see which fields were populated by extraction.</w:t>
      </w:r>
    </w:p>
    <w:p>
      <w:pPr>
        <w:pStyle w:val="ListParagraph"/>
        <w:numPr>
          <w:ilvl w:val="0"/>
          <w:numId w:val="2"/>
        </w:numPr>
        <w:spacing w:after="160"/>
      </w:pPr>
      <w:r>
        <w:rPr>
          <w:rFonts w:ascii="Times New Roman" w:cs="Times New Roman" w:eastAsia="Times New Roman" w:hAnsi="Times New Roman"/>
          <w:sz w:val="24"/>
          <w:szCs w:val="24"/>
        </w:rPr>
        <w:t xml:space="preserve">Verify key figures. Compare extracted values against the source document for items like real estate taxes, insurance, and management fees.</w:t>
      </w:r>
    </w:p>
    <w:p>
      <w:pPr>
        <w:pStyle w:val="ListParagraph"/>
        <w:numPr>
          <w:ilvl w:val="0"/>
          <w:numId w:val="2"/>
        </w:numPr>
        <w:spacing w:after="160"/>
      </w:pPr>
      <w:r>
        <w:rPr>
          <w:rFonts w:ascii="Times New Roman" w:cs="Times New Roman" w:eastAsia="Times New Roman" w:hAnsi="Times New Roman"/>
          <w:sz w:val="24"/>
          <w:szCs w:val="24"/>
        </w:rPr>
        <w:t xml:space="preserve">Override where needed. Click the lock on any value you want to adjust, then enter your proforma assumption.</w:t>
      </w:r>
    </w:p>
    <w:p>
      <w:pPr>
        <w:pStyle w:val="ListParagraph"/>
        <w:numPr>
          <w:ilvl w:val="0"/>
          <w:numId w:val="2"/>
        </w:numPr>
        <w:spacing w:after="160"/>
      </w:pPr>
      <w:r>
        <w:rPr>
          <w:rFonts w:ascii="Times New Roman" w:cs="Times New Roman" w:eastAsia="Times New Roman" w:hAnsi="Times New Roman"/>
          <w:sz w:val="24"/>
          <w:szCs w:val="24"/>
        </w:rPr>
        <w:t xml:space="preserve">Add missing items. Use the “+” button to add expense line items that were not present in the source document.</w:t>
      </w:r>
    </w:p>
    <w:p>
      <w:pPr>
        <w:pStyle w:val="ListParagraph"/>
        <w:numPr>
          <w:ilvl w:val="0"/>
          <w:numId w:val="2"/>
        </w:numPr>
        <w:spacing w:after="160"/>
      </w:pPr>
      <w:r>
        <w:rPr>
          <w:rFonts w:ascii="Times New Roman" w:cs="Times New Roman" w:eastAsia="Times New Roman" w:hAnsi="Times New Roman"/>
          <w:sz w:val="24"/>
          <w:szCs w:val="24"/>
        </w:rPr>
        <w:t xml:space="preserve">Check NOI. With income from the Rent Roll and expenses from ingestion plus your adjustments, the NOI row at the bottom reflects your underwritten operating performance.</w:t>
      </w:r>
    </w:p>
    <w:p>
      <w:pPr>
        <w:pStyle w:val="Heading2"/>
        <w:spacing w:before="200" w:after="160"/>
      </w:pPr>
      <w:r>
        <w:rPr>
          <w:rFonts w:ascii="Times New Roman" w:cs="Times New Roman" w:eastAsia="Times New Roman" w:hAnsi="Times New Roman"/>
          <w:b/>
          <w:bCs/>
          <w:color w:val="333333"/>
          <w:sz w:val="28"/>
          <w:szCs w:val="28"/>
        </w:rPr>
        <w:t xml:space="preserve">X.7.2  Re-Ingestion</w:t>
      </w:r>
    </w:p>
    <w:p>
      <w:pPr>
        <w:spacing w:after="160"/>
      </w:pPr>
      <w:r>
        <w:rPr>
          <w:rFonts w:ascii="Times New Roman" w:cs="Times New Roman" w:eastAsia="Times New Roman" w:hAnsi="Times New Roman"/>
          <w:sz w:val="24"/>
          <w:szCs w:val="24"/>
        </w:rPr>
        <w:t xml:space="preserve">If you ingest a second document that contains overlapping fields (for example, a T-12 after already ingesting an OM), the Ingestion Workbench handles conflict resolution before values reach the Operations tab. Fields that you have already manually overridden (provenance = “user_modified”) will not be silently replaced by the new extraction—you will be prompted to accept or reject the new value for each conflict.</w:t>
      </w:r>
    </w:p>
    <w:p>
      <w:pPr>
        <w:pStyle w:val="Heading1"/>
        <w:spacing w:before="240" w:after="240"/>
      </w:pPr>
      <w:r>
        <w:rPr>
          <w:rFonts w:ascii="Times New Roman" w:cs="Times New Roman" w:eastAsia="Times New Roman" w:hAnsi="Times New Roman"/>
          <w:b/>
          <w:bCs/>
          <w:color w:val="2E75B6"/>
          <w:sz w:val="32"/>
          <w:szCs w:val="32"/>
        </w:rPr>
        <w:t xml:space="preserve">X.8  Downstream: The Income Approach</w:t>
      </w:r>
    </w:p>
    <w:p>
      <w:pPr>
        <w:spacing w:after="160"/>
      </w:pPr>
      <w:r>
        <w:rPr>
          <w:rFonts w:ascii="Times New Roman" w:cs="Times New Roman" w:eastAsia="Times New Roman" w:hAnsi="Times New Roman"/>
          <w:sz w:val="24"/>
          <w:szCs w:val="24"/>
        </w:rPr>
        <w:t xml:space="preserve">The values on the Operations tab flow directly into the Income Approach on the Valuation tab. The 3-column P&amp;L in the Income Approach reflects the three NOI bases (F-12 Current, F-12 Market, Stabilized) with visibility toggles. Changes to the Operations tab—whether from ingestion, manual entry, or overrides—are reflected in the Income Approach in real time.</w:t>
      </w:r>
    </w:p>
    <w:p>
      <w:pPr>
        <w:spacing w:after="160"/>
      </w:pPr>
      <w:r>
        <w:rPr>
          <w:rFonts w:ascii="Times New Roman" w:cs="Times New Roman" w:eastAsia="Times New Roman" w:hAnsi="Times New Roman"/>
          <w:sz w:val="24"/>
          <w:szCs w:val="24"/>
        </w:rPr>
        <w:t xml:space="preserve">The value tiles on the Income Approach (three Direct Cap tiles plus a DCF placeholder) each derive their NOI from the corresponding column on the Operations tab. This tight coupling means that when you adjust an expense assumption or override a vacancy figure, you immediately see the impact on cap-rate-derived value.</w:t>
      </w:r>
    </w:p>
    <w:p>
      <w:pPr>
        <w:pStyle w:val="Heading1"/>
        <w:spacing w:before="240" w:after="240"/>
      </w:pPr>
      <w:r>
        <w:rPr>
          <w:rFonts w:ascii="Times New Roman" w:cs="Times New Roman" w:eastAsia="Times New Roman" w:hAnsi="Times New Roman"/>
          <w:b/>
          <w:bCs/>
          <w:color w:val="2E75B6"/>
          <w:sz w:val="32"/>
          <w:szCs w:val="32"/>
        </w:rPr>
        <w:t xml:space="preserve">X.9  Tips and Best Practices</w:t>
      </w:r>
    </w:p>
    <w:p>
      <w:pPr>
        <w:spacing w:after="160"/>
      </w:pPr>
      <w:r>
        <w:rPr>
          <w:rFonts w:ascii="Times New Roman" w:cs="Times New Roman" w:eastAsia="Times New Roman" w:hAnsi="Times New Roman"/>
          <w:b/>
          <w:bCs/>
          <w:sz w:val="24"/>
          <w:szCs w:val="24"/>
        </w:rPr>
        <w:t xml:space="preserve">Start with the Rent Roll. </w:t>
      </w:r>
      <w:r>
        <w:rPr>
          <w:rFonts w:ascii="Times New Roman" w:cs="Times New Roman" w:eastAsia="Times New Roman" w:hAnsi="Times New Roman"/>
          <w:sz w:val="24"/>
          <w:szCs w:val="24"/>
        </w:rPr>
        <w:t xml:space="preserve">Before working on the Operations tab, make sure your Rent Roll is complete on the Property tab. Since rental income is read-only here, an incomplete or inaccurate Rent Roll will cascade errors through the entire operating statement.</w:t>
      </w:r>
    </w:p>
    <w:p>
      <w:pPr>
        <w:spacing w:after="160"/>
      </w:pPr>
      <w:r>
        <w:rPr>
          <w:rFonts w:ascii="Times New Roman" w:cs="Times New Roman" w:eastAsia="Times New Roman" w:hAnsi="Times New Roman"/>
          <w:b/>
          <w:bCs/>
          <w:sz w:val="24"/>
          <w:szCs w:val="24"/>
        </w:rPr>
        <w:t xml:space="preserve">Use Document Ingestion. </w:t>
      </w:r>
      <w:r>
        <w:rPr>
          <w:rFonts w:ascii="Times New Roman" w:cs="Times New Roman" w:eastAsia="Times New Roman" w:hAnsi="Times New Roman"/>
          <w:sz w:val="24"/>
          <w:szCs w:val="24"/>
        </w:rPr>
        <w:t xml:space="preserve">Ingesting a T-12 or OM before manually entering expenses saves time and preserves provenance. Even if you plan to override most values, having the extracted starting point and audit trail is valuable.</w:t>
      </w:r>
    </w:p>
    <w:p>
      <w:pPr>
        <w:spacing w:after="160"/>
      </w:pPr>
      <w:r>
        <w:rPr>
          <w:rFonts w:ascii="Times New Roman" w:cs="Times New Roman" w:eastAsia="Times New Roman" w:hAnsi="Times New Roman"/>
          <w:b/>
          <w:bCs/>
          <w:sz w:val="24"/>
          <w:szCs w:val="24"/>
        </w:rPr>
        <w:t xml:space="preserve">Watch the Lock Icons. </w:t>
      </w:r>
      <w:r>
        <w:rPr>
          <w:rFonts w:ascii="Times New Roman" w:cs="Times New Roman" w:eastAsia="Times New Roman" w:hAnsi="Times New Roman"/>
          <w:sz w:val="24"/>
          <w:szCs w:val="24"/>
        </w:rPr>
        <w:t xml:space="preserve">If every field shows the input icon (no locks), it means either no documents have been ingested or all ingested values have been overridden. Before finalizing, consider whether any source-backed values should be preserved for auditability.</w:t>
      </w:r>
    </w:p>
    <w:p>
      <w:pPr>
        <w:spacing w:after="160"/>
      </w:pPr>
      <w:r>
        <w:rPr>
          <w:rFonts w:ascii="Times New Roman" w:cs="Times New Roman" w:eastAsia="Times New Roman" w:hAnsi="Times New Roman"/>
          <w:b/>
          <w:bCs/>
          <w:sz w:val="24"/>
          <w:szCs w:val="24"/>
        </w:rPr>
        <w:t xml:space="preserve">Use Category Filters. </w:t>
      </w:r>
      <w:r>
        <w:rPr>
          <w:rFonts w:ascii="Times New Roman" w:cs="Times New Roman" w:eastAsia="Times New Roman" w:hAnsi="Times New Roman"/>
          <w:sz w:val="24"/>
          <w:szCs w:val="24"/>
        </w:rPr>
        <w:t xml:space="preserve">When reviewing a long expense list, use the filter pills (Taxes, Insurance, Utilities, R&amp;M, Management, Other) to isolate one category at a time. This makes it easier to compare like items and catch categorization errors.</w:t>
      </w:r>
    </w:p>
    <w:p>
      <w:pPr>
        <w:spacing w:after="160"/>
      </w:pPr>
      <w:r>
        <w:rPr>
          <w:rFonts w:ascii="Times New Roman" w:cs="Times New Roman" w:eastAsia="Times New Roman" w:hAnsi="Times New Roman"/>
          <w:b/>
          <w:bCs/>
          <w:sz w:val="24"/>
          <w:szCs w:val="24"/>
        </w:rPr>
        <w:t xml:space="preserve">Collapse Sections You’re Not Editing. </w:t>
      </w:r>
      <w:r>
        <w:rPr>
          <w:rFonts w:ascii="Times New Roman" w:cs="Times New Roman" w:eastAsia="Times New Roman" w:hAnsi="Times New Roman"/>
          <w:sz w:val="24"/>
          <w:szCs w:val="24"/>
        </w:rPr>
        <w:t xml:space="preserve">The detail/summary toggle keeps the page manageable. Collapse Income and Vacancy while you’re focused on expenses, and vice versa.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Landscape User Guide</w:t>
    </w:r>
    <w:r>
      <w:rPr>
        <w:rFonts w:ascii="Times New Roman" w:cs="Times New Roman" w:eastAsia="Times New Roman" w:hAnsi="Times New Roman"/>
        <w:i/>
        <w:iCs/>
        <w:color w:val="888888"/>
        <w:sz w:val="18"/>
        <w:szCs w:val="18"/>
      </w:rPr>
      <w:t xml:space="preserve">  |  MF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Times New Roman" w:cs="Times New Roman" w:eastAsia="Times New Roman" w:hAnsi="Times New Roman"/>
      <w:b/>
      <w:bCs/>
      <w:color w:val="2E75B6"/>
      <w:sz w:val="32"/>
      <w:szCs w:val="32"/>
    </w:rPr>
  </w:style>
  <w:style w:type="paragraph" w:styleId="Heading2">
    <w:name w:val="Heading 2"/>
    <w:basedOn w:val="Normal"/>
    <w:next w:val="Normal"/>
    <w:qFormat/>
    <w:pPr>
      <w:spacing w:before="200" w:after="160"/>
      <w:outlineLvl w:val="1"/>
    </w:pPr>
    <w:rPr>
      <w:rFonts w:ascii="Times New Roman" w:cs="Times New Roman" w:eastAsia="Times New Roman" w:hAnsi="Times New Roman"/>
      <w:b/>
      <w:bCs/>
      <w:color w:val="333333"/>
      <w:sz w:val="28"/>
      <w:szCs w:val="28"/>
    </w:rPr>
  </w:style>
  <w:style w:type="paragraph" w:styleId="Heading3">
    <w:name w:val="Heading 3"/>
    <w:basedOn w:val="Normal"/>
    <w:next w:val="Normal"/>
    <w:qFormat/>
    <w:pPr>
      <w:spacing w:before="160" w:after="120"/>
      <w:outlineLvl w:val="2"/>
    </w:pPr>
    <w:rPr>
      <w:rFonts w:ascii="Times New Roman" w:cs="Times New Roman" w:eastAsia="Times New Roman" w:hAnsi="Times New Roman"/>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2026-03-12T00:25:34.202Z</dcterms:created>
  <dcterms:modified xsi:type="dcterms:W3CDTF">2026-03-12T00:25:34.203Z</dcterms:modified>
</cp:coreProperties>
</file>

<file path=docProps/custom.xml><?xml version="1.0" encoding="utf-8"?>
<Properties xmlns="http://schemas.openxmlformats.org/officeDocument/2006/custom-properties" xmlns:vt="http://schemas.openxmlformats.org/officeDocument/2006/docPropsVTypes"/>
</file>