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DDB9" w14:textId="77777777" w:rsidR="00DE1000" w:rsidRPr="00DE1000" w:rsidRDefault="00DE1000" w:rsidP="00DE1000">
      <w:pPr>
        <w:rPr>
          <w:b/>
          <w:bCs/>
        </w:rPr>
      </w:pPr>
      <w:r w:rsidRPr="00DE1000">
        <w:rPr>
          <w:b/>
          <w:bCs/>
        </w:rPr>
        <w:fldChar w:fldCharType="begin"/>
      </w:r>
      <w:r w:rsidRPr="00DE1000">
        <w:rPr>
          <w:b/>
          <w:bCs/>
        </w:rPr>
        <w:instrText>HYPERLINK "https://www.matthews.com/2024-multifamily-orange-county-ca/"</w:instrText>
      </w:r>
      <w:r w:rsidRPr="00DE1000">
        <w:rPr>
          <w:b/>
          <w:bCs/>
        </w:rPr>
      </w:r>
      <w:r w:rsidRPr="00DE1000">
        <w:rPr>
          <w:b/>
          <w:bCs/>
        </w:rPr>
        <w:fldChar w:fldCharType="separate"/>
      </w:r>
      <w:r w:rsidRPr="00DE1000">
        <w:rPr>
          <w:rStyle w:val="Hyperlink"/>
          <w:b/>
          <w:bCs/>
        </w:rPr>
        <w:t>2024 | Multifamily Market Report | Orange County, CA</w:t>
      </w:r>
      <w:r w:rsidRPr="00DE1000">
        <w:fldChar w:fldCharType="end"/>
      </w:r>
    </w:p>
    <w:p w14:paraId="137EE5A4" w14:textId="77777777" w:rsidR="00DE1000" w:rsidRPr="00DE1000" w:rsidRDefault="00DE1000" w:rsidP="00DE1000">
      <w:pPr>
        <w:rPr>
          <w:i/>
          <w:iCs/>
        </w:rPr>
      </w:pPr>
      <w:r w:rsidRPr="00DE1000">
        <w:rPr>
          <w:i/>
          <w:iCs/>
        </w:rPr>
        <w:t>Share</w:t>
      </w:r>
    </w:p>
    <w:p w14:paraId="063C797B" w14:textId="77777777" w:rsidR="00DE1000" w:rsidRPr="00DE1000" w:rsidRDefault="00DE1000" w:rsidP="00DE1000">
      <w:pPr>
        <w:rPr>
          <w:b/>
          <w:bCs/>
        </w:rPr>
      </w:pPr>
      <w:r w:rsidRPr="00DE1000">
        <w:rPr>
          <w:b/>
          <w:bCs/>
        </w:rPr>
        <w:t>Orange County Apartment Market Report</w:t>
      </w:r>
    </w:p>
    <w:p w14:paraId="590D204D" w14:textId="77777777" w:rsidR="00DE1000" w:rsidRPr="00DE1000" w:rsidRDefault="00DE1000" w:rsidP="00DE1000">
      <w:pPr>
        <w:numPr>
          <w:ilvl w:val="0"/>
          <w:numId w:val="1"/>
        </w:numPr>
      </w:pPr>
      <w:r w:rsidRPr="00DE1000">
        <w:t xml:space="preserve">The Orange County apartment market is among the nation’s 50 major markets, </w:t>
      </w:r>
      <w:proofErr w:type="gramStart"/>
      <w:r w:rsidRPr="00DE1000">
        <w:t>is</w:t>
      </w:r>
      <w:proofErr w:type="gramEnd"/>
      <w:r w:rsidRPr="00DE1000">
        <w:t xml:space="preserve"> has the second lowest vacancy rate at 4.1%</w:t>
      </w:r>
    </w:p>
    <w:p w14:paraId="679D01C9" w14:textId="77777777" w:rsidR="00DE1000" w:rsidRPr="00DE1000" w:rsidRDefault="00DE1000" w:rsidP="00DE1000">
      <w:pPr>
        <w:numPr>
          <w:ilvl w:val="0"/>
          <w:numId w:val="1"/>
        </w:numPr>
      </w:pPr>
      <w:r w:rsidRPr="00DE1000">
        <w:t>Absorption reached roughly 2,200 units in 2024, up from 2023 but lower than the previous decade’s annual average of 2,900 units.</w:t>
      </w:r>
    </w:p>
    <w:p w14:paraId="0D5A77BB" w14:textId="77777777" w:rsidR="00DE1000" w:rsidRPr="00DE1000" w:rsidRDefault="00DE1000" w:rsidP="00DE1000">
      <w:pPr>
        <w:numPr>
          <w:ilvl w:val="0"/>
          <w:numId w:val="1"/>
        </w:numPr>
      </w:pPr>
      <w:r w:rsidRPr="00DE1000">
        <w:t>Demand is robust with continued job growth, improved affordability, and an increase in international immigration.</w:t>
      </w:r>
    </w:p>
    <w:p w14:paraId="62AFF023" w14:textId="77777777" w:rsidR="00DE1000" w:rsidRPr="00DE1000" w:rsidRDefault="00DE1000" w:rsidP="00DE1000">
      <w:pPr>
        <w:rPr>
          <w:b/>
          <w:bCs/>
        </w:rPr>
      </w:pPr>
      <w:r w:rsidRPr="00DE1000">
        <w:rPr>
          <w:b/>
          <w:bCs/>
        </w:rPr>
        <w:t>By the Numbers | Orange County Apartments</w:t>
      </w:r>
    </w:p>
    <w:p w14:paraId="129C5931" w14:textId="77777777" w:rsidR="00DE1000" w:rsidRPr="00DE1000" w:rsidRDefault="00DE1000" w:rsidP="00DE1000">
      <w:r w:rsidRPr="00DE1000">
        <w:t>2024 | Source: </w:t>
      </w:r>
      <w:hyperlink r:id="rId5" w:history="1">
        <w:r w:rsidRPr="00DE1000">
          <w:rPr>
            <w:rStyle w:val="Hyperlink"/>
          </w:rPr>
          <w:t>CoStar Group</w:t>
        </w:r>
      </w:hyperlink>
    </w:p>
    <w:p w14:paraId="1316648D" w14:textId="77777777" w:rsidR="00DE1000" w:rsidRPr="00DE1000" w:rsidRDefault="00DE1000" w:rsidP="00DE1000">
      <w:r w:rsidRPr="00DE1000">
        <w:rPr>
          <w:b/>
          <w:bCs/>
        </w:rPr>
        <w:t>Sales Volume:</w:t>
      </w:r>
      <w:r w:rsidRPr="00DE1000">
        <w:t> $1.5B</w:t>
      </w:r>
    </w:p>
    <w:p w14:paraId="5D1C2E17" w14:textId="77777777" w:rsidR="00DE1000" w:rsidRPr="00DE1000" w:rsidRDefault="00DE1000" w:rsidP="00DE1000">
      <w:r w:rsidRPr="00DE1000">
        <w:rPr>
          <w:b/>
          <w:bCs/>
        </w:rPr>
        <w:t>Market Sale Price Per Unit:</w:t>
      </w:r>
      <w:r w:rsidRPr="00DE1000">
        <w:t> $439K</w:t>
      </w:r>
    </w:p>
    <w:p w14:paraId="1D212364" w14:textId="77777777" w:rsidR="00DE1000" w:rsidRPr="00DE1000" w:rsidRDefault="00DE1000" w:rsidP="00DE1000">
      <w:r w:rsidRPr="00DE1000">
        <w:rPr>
          <w:b/>
          <w:bCs/>
        </w:rPr>
        <w:t>Cap Rate:</w:t>
      </w:r>
      <w:r w:rsidRPr="00DE1000">
        <w:t> 4.4%</w:t>
      </w:r>
    </w:p>
    <w:p w14:paraId="1B57708C" w14:textId="77777777" w:rsidR="00DE1000" w:rsidRPr="00DE1000" w:rsidRDefault="00DE1000" w:rsidP="00DE1000">
      <w:r w:rsidRPr="00DE1000">
        <w:rPr>
          <w:b/>
          <w:bCs/>
        </w:rPr>
        <w:t>Vacancy Rate:</w:t>
      </w:r>
      <w:r w:rsidRPr="00DE1000">
        <w:t> 4.1%</w:t>
      </w:r>
    </w:p>
    <w:p w14:paraId="04856DB3" w14:textId="77777777" w:rsidR="00DE1000" w:rsidRPr="00DE1000" w:rsidRDefault="00DE1000" w:rsidP="00DE1000">
      <w:r w:rsidRPr="00DE1000">
        <w:rPr>
          <w:b/>
          <w:bCs/>
        </w:rPr>
        <w:t>Rent Growth:</w:t>
      </w:r>
      <w:r w:rsidRPr="00DE1000">
        <w:t> 0.2%</w:t>
      </w:r>
    </w:p>
    <w:p w14:paraId="0DCE2068" w14:textId="77777777" w:rsidR="00DE1000" w:rsidRPr="00DE1000" w:rsidRDefault="00DE1000" w:rsidP="00DE1000">
      <w:r w:rsidRPr="00DE1000">
        <w:rPr>
          <w:b/>
          <w:bCs/>
        </w:rPr>
        <w:t>Average Market Asking Rent per Unit:</w:t>
      </w:r>
      <w:r w:rsidRPr="00DE1000">
        <w:t> $2,695</w:t>
      </w:r>
    </w:p>
    <w:p w14:paraId="37BDE7FC" w14:textId="77777777" w:rsidR="00DE1000" w:rsidRPr="00DE1000" w:rsidRDefault="00DE1000" w:rsidP="00DE1000">
      <w:r w:rsidRPr="00DE1000">
        <w:rPr>
          <w:b/>
          <w:bCs/>
        </w:rPr>
        <w:t>Under Construction:</w:t>
      </w:r>
      <w:r w:rsidRPr="00DE1000">
        <w:t> 5,301 Units</w:t>
      </w:r>
    </w:p>
    <w:p w14:paraId="0B797CDA" w14:textId="77777777" w:rsidR="00DE1000" w:rsidRPr="00DE1000" w:rsidRDefault="00DE1000" w:rsidP="00DE1000">
      <w:r w:rsidRPr="00DE1000">
        <w:rPr>
          <w:b/>
          <w:bCs/>
        </w:rPr>
        <w:t>Delivered:</w:t>
      </w:r>
      <w:r w:rsidRPr="00DE1000">
        <w:t> 2,837 Units</w:t>
      </w:r>
    </w:p>
    <w:p w14:paraId="4EB7638D" w14:textId="77777777" w:rsidR="00DE1000" w:rsidRPr="00DE1000" w:rsidRDefault="00DE1000" w:rsidP="00DE1000">
      <w:r w:rsidRPr="00DE1000">
        <w:rPr>
          <w:b/>
          <w:bCs/>
        </w:rPr>
        <w:t>Absorbed:</w:t>
      </w:r>
      <w:r w:rsidRPr="00DE1000">
        <w:t> 2,221 Units</w:t>
      </w:r>
    </w:p>
    <w:p w14:paraId="6C730671" w14:textId="77777777" w:rsidR="00DE1000" w:rsidRPr="00DE1000" w:rsidRDefault="00DE1000" w:rsidP="00DE1000">
      <w:pPr>
        <w:rPr>
          <w:b/>
          <w:bCs/>
        </w:rPr>
      </w:pPr>
      <w:r w:rsidRPr="00DE1000">
        <w:rPr>
          <w:b/>
          <w:bCs/>
        </w:rPr>
        <w:t>Orange County Demographics</w:t>
      </w:r>
    </w:p>
    <w:p w14:paraId="13CAFE50" w14:textId="77777777" w:rsidR="00DE1000" w:rsidRPr="00DE1000" w:rsidRDefault="00DE1000" w:rsidP="00DE1000">
      <w:r w:rsidRPr="00DE1000">
        <w:rPr>
          <w:b/>
          <w:bCs/>
        </w:rPr>
        <w:t>Unemployment Rate: 4.2%</w:t>
      </w:r>
    </w:p>
    <w:p w14:paraId="6D8AEDD8" w14:textId="77777777" w:rsidR="00DE1000" w:rsidRPr="00DE1000" w:rsidRDefault="00DE1000" w:rsidP="00DE1000">
      <w:r w:rsidRPr="00DE1000">
        <w:rPr>
          <w:b/>
          <w:bCs/>
        </w:rPr>
        <w:t>Current Population: 3,144,028</w:t>
      </w:r>
    </w:p>
    <w:p w14:paraId="05D36CCF" w14:textId="77777777" w:rsidR="00DE1000" w:rsidRPr="00DE1000" w:rsidRDefault="00DE1000" w:rsidP="00DE1000">
      <w:r w:rsidRPr="00DE1000">
        <w:rPr>
          <w:b/>
          <w:bCs/>
        </w:rPr>
        <w:t>Households: 1,098,588</w:t>
      </w:r>
    </w:p>
    <w:p w14:paraId="1B020610" w14:textId="77777777" w:rsidR="00DE1000" w:rsidRPr="00DE1000" w:rsidRDefault="00DE1000" w:rsidP="00DE1000">
      <w:r w:rsidRPr="00DE1000">
        <w:rPr>
          <w:b/>
          <w:bCs/>
        </w:rPr>
        <w:t>Median Household Income: $116,253</w:t>
      </w:r>
    </w:p>
    <w:p w14:paraId="37AF4484" w14:textId="77777777" w:rsidR="00DE1000" w:rsidRPr="00DE1000" w:rsidRDefault="00DE1000" w:rsidP="00DE1000">
      <w:r w:rsidRPr="00DE1000">
        <w:t>The Walt Disney Company is Orange County’s largest employer, with a projected workforce of approximately 36,000 people.</w:t>
      </w:r>
    </w:p>
    <w:p w14:paraId="59E45857" w14:textId="4765CE66" w:rsidR="00DE1000" w:rsidRPr="00DE1000" w:rsidRDefault="00DE1000" w:rsidP="00DE1000">
      <w:r w:rsidRPr="00DE1000">
        <w:lastRenderedPageBreak/>
        <w:drawing>
          <wp:inline distT="0" distB="0" distL="0" distR="0" wp14:anchorId="3020264A" wp14:editId="11FD8F0E">
            <wp:extent cx="5943600" cy="1510030"/>
            <wp:effectExtent l="0" t="0" r="0" b="0"/>
            <wp:docPr id="303028849" name="Picture 6" descr="Three graphs representing orange county population growth, labor force growth, and incom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ree graphs representing orange county population growth, labor force growth, and income growt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10030"/>
                    </a:xfrm>
                    <a:prstGeom prst="rect">
                      <a:avLst/>
                    </a:prstGeom>
                    <a:noFill/>
                    <a:ln>
                      <a:noFill/>
                    </a:ln>
                  </pic:spPr>
                </pic:pic>
              </a:graphicData>
            </a:graphic>
          </wp:inline>
        </w:drawing>
      </w:r>
    </w:p>
    <w:p w14:paraId="281DDA06" w14:textId="77777777" w:rsidR="00DE1000" w:rsidRPr="00DE1000" w:rsidRDefault="00DE1000" w:rsidP="00DE1000">
      <w:pPr>
        <w:rPr>
          <w:b/>
          <w:bCs/>
        </w:rPr>
      </w:pPr>
      <w:r w:rsidRPr="00DE1000">
        <w:rPr>
          <w:b/>
          <w:bCs/>
        </w:rPr>
        <w:t>Orange County Apartment Performance</w:t>
      </w:r>
    </w:p>
    <w:p w14:paraId="1C41D88C" w14:textId="77777777" w:rsidR="00DE1000" w:rsidRPr="00DE1000" w:rsidRDefault="00DE1000" w:rsidP="00DE1000">
      <w:r w:rsidRPr="00DE1000">
        <w:t>Among the nation’s 50 major markets, the Orange County apartment market has the second lowest vacancy rate at 4.1%. Although it still </w:t>
      </w:r>
      <w:hyperlink r:id="rId7" w:history="1">
        <w:r w:rsidRPr="00DE1000">
          <w:rPr>
            <w:rStyle w:val="Hyperlink"/>
          </w:rPr>
          <w:t>compares favorably with other markets</w:t>
        </w:r>
      </w:hyperlink>
      <w:r w:rsidRPr="00DE1000">
        <w:t xml:space="preserve">, vacancies have increased in the market, especially in Class A assets. As a result, </w:t>
      </w:r>
      <w:proofErr w:type="gramStart"/>
      <w:r w:rsidRPr="00DE1000">
        <w:t>rents</w:t>
      </w:r>
      <w:proofErr w:type="gramEnd"/>
      <w:r w:rsidRPr="00DE1000">
        <w:t xml:space="preserve"> growth has remained relatively flat, recording 0.5%. Based on current developments, supply will climb to roughly 4,700 units by 2025. However, if employment grows as expected, absorption will at least maintain its current rate, if not accelerate, causing market vacancy to decrease. Stronger absorption should allow landlords to increase rent growth in the coming year.</w:t>
      </w:r>
    </w:p>
    <w:p w14:paraId="251D2776" w14:textId="77777777" w:rsidR="00DE1000" w:rsidRPr="00DE1000" w:rsidRDefault="00DE1000" w:rsidP="00DE1000">
      <w:pPr>
        <w:rPr>
          <w:b/>
          <w:bCs/>
        </w:rPr>
      </w:pPr>
      <w:r w:rsidRPr="00DE1000">
        <w:rPr>
          <w:b/>
          <w:bCs/>
        </w:rPr>
        <w:t>Performance by Class</w:t>
      </w:r>
    </w:p>
    <w:tbl>
      <w:tblPr>
        <w:tblW w:w="2300" w:type="pct"/>
        <w:tblCellSpacing w:w="15" w:type="dxa"/>
        <w:tblBorders>
          <w:top w:val="single" w:sz="24" w:space="0" w:color="000000"/>
          <w:left w:val="single" w:sz="24" w:space="0" w:color="000000"/>
          <w:bottom w:val="single" w:sz="24" w:space="0" w:color="000000"/>
          <w:right w:val="single" w:sz="24" w:space="0" w:color="000000"/>
        </w:tblBorders>
        <w:tblCellMar>
          <w:top w:w="15" w:type="dxa"/>
          <w:left w:w="15" w:type="dxa"/>
          <w:bottom w:w="15" w:type="dxa"/>
          <w:right w:w="15" w:type="dxa"/>
        </w:tblCellMar>
        <w:tblLook w:val="04A0" w:firstRow="1" w:lastRow="0" w:firstColumn="1" w:lastColumn="0" w:noHBand="0" w:noVBand="1"/>
      </w:tblPr>
      <w:tblGrid>
        <w:gridCol w:w="992"/>
        <w:gridCol w:w="1052"/>
        <w:gridCol w:w="1191"/>
        <w:gridCol w:w="1071"/>
      </w:tblGrid>
      <w:tr w:rsidR="00DE1000" w:rsidRPr="00DE1000" w14:paraId="43F18638" w14:textId="77777777" w:rsidTr="00DE1000">
        <w:trPr>
          <w:trHeight w:val="360"/>
          <w:tblCellSpacing w:w="15" w:type="dxa"/>
        </w:trPr>
        <w:tc>
          <w:tcPr>
            <w:tcW w:w="1770" w:type="dxa"/>
            <w:tcBorders>
              <w:top w:val="nil"/>
              <w:left w:val="nil"/>
              <w:bottom w:val="nil"/>
              <w:right w:val="nil"/>
            </w:tcBorders>
            <w:vAlign w:val="center"/>
            <w:hideMark/>
          </w:tcPr>
          <w:p w14:paraId="6A7FA0F9" w14:textId="77777777" w:rsidR="00DE1000" w:rsidRPr="00DE1000" w:rsidRDefault="00DE1000" w:rsidP="00DE1000"/>
        </w:tc>
        <w:tc>
          <w:tcPr>
            <w:tcW w:w="1725" w:type="dxa"/>
            <w:tcBorders>
              <w:top w:val="nil"/>
              <w:left w:val="nil"/>
              <w:bottom w:val="nil"/>
              <w:right w:val="nil"/>
            </w:tcBorders>
            <w:vAlign w:val="center"/>
            <w:hideMark/>
          </w:tcPr>
          <w:p w14:paraId="3D4F58C2" w14:textId="77777777" w:rsidR="00DE1000" w:rsidRPr="00DE1000" w:rsidRDefault="00DE1000" w:rsidP="00DE1000">
            <w:r w:rsidRPr="00DE1000">
              <w:t>Units</w:t>
            </w:r>
          </w:p>
        </w:tc>
        <w:tc>
          <w:tcPr>
            <w:tcW w:w="1800" w:type="dxa"/>
            <w:tcBorders>
              <w:top w:val="nil"/>
              <w:left w:val="nil"/>
              <w:bottom w:val="nil"/>
              <w:right w:val="nil"/>
            </w:tcBorders>
            <w:vAlign w:val="center"/>
            <w:hideMark/>
          </w:tcPr>
          <w:p w14:paraId="280CDE53" w14:textId="77777777" w:rsidR="00DE1000" w:rsidRPr="00DE1000" w:rsidRDefault="00DE1000" w:rsidP="00DE1000">
            <w:r w:rsidRPr="00DE1000">
              <w:t>Vacancy Rate</w:t>
            </w:r>
          </w:p>
        </w:tc>
        <w:tc>
          <w:tcPr>
            <w:tcW w:w="1740" w:type="dxa"/>
            <w:tcBorders>
              <w:top w:val="nil"/>
              <w:left w:val="nil"/>
              <w:bottom w:val="nil"/>
              <w:right w:val="nil"/>
            </w:tcBorders>
            <w:vAlign w:val="center"/>
            <w:hideMark/>
          </w:tcPr>
          <w:p w14:paraId="10B9D372" w14:textId="77777777" w:rsidR="00DE1000" w:rsidRPr="00DE1000" w:rsidRDefault="00DE1000" w:rsidP="00DE1000">
            <w:r w:rsidRPr="00DE1000">
              <w:t>Asking Rent</w:t>
            </w:r>
          </w:p>
        </w:tc>
      </w:tr>
      <w:tr w:rsidR="00DE1000" w:rsidRPr="00DE1000" w14:paraId="4A0DDD34" w14:textId="77777777" w:rsidTr="00DE1000">
        <w:trPr>
          <w:trHeight w:val="375"/>
          <w:tblCellSpacing w:w="15" w:type="dxa"/>
        </w:trPr>
        <w:tc>
          <w:tcPr>
            <w:tcW w:w="1770" w:type="dxa"/>
            <w:tcBorders>
              <w:top w:val="nil"/>
              <w:left w:val="nil"/>
              <w:bottom w:val="nil"/>
              <w:right w:val="nil"/>
            </w:tcBorders>
            <w:vAlign w:val="center"/>
            <w:hideMark/>
          </w:tcPr>
          <w:p w14:paraId="23B6E8F7" w14:textId="77777777" w:rsidR="00DE1000" w:rsidRPr="00DE1000" w:rsidRDefault="00DE1000" w:rsidP="00DE1000">
            <w:r w:rsidRPr="00DE1000">
              <w:t>Class A</w:t>
            </w:r>
          </w:p>
        </w:tc>
        <w:tc>
          <w:tcPr>
            <w:tcW w:w="1725" w:type="dxa"/>
            <w:tcBorders>
              <w:top w:val="nil"/>
              <w:left w:val="nil"/>
              <w:bottom w:val="nil"/>
              <w:right w:val="nil"/>
            </w:tcBorders>
            <w:vAlign w:val="center"/>
            <w:hideMark/>
          </w:tcPr>
          <w:p w14:paraId="3B13FE4F" w14:textId="77777777" w:rsidR="00DE1000" w:rsidRPr="00DE1000" w:rsidRDefault="00DE1000" w:rsidP="00DE1000">
            <w:r w:rsidRPr="00DE1000">
              <w:t>75,976</w:t>
            </w:r>
          </w:p>
        </w:tc>
        <w:tc>
          <w:tcPr>
            <w:tcW w:w="1800" w:type="dxa"/>
            <w:tcBorders>
              <w:top w:val="nil"/>
              <w:left w:val="nil"/>
              <w:bottom w:val="nil"/>
              <w:right w:val="nil"/>
            </w:tcBorders>
            <w:vAlign w:val="center"/>
            <w:hideMark/>
          </w:tcPr>
          <w:p w14:paraId="090FE77B" w14:textId="77777777" w:rsidR="00DE1000" w:rsidRPr="00DE1000" w:rsidRDefault="00DE1000" w:rsidP="00DE1000">
            <w:r w:rsidRPr="00DE1000">
              <w:t>5.9%</w:t>
            </w:r>
          </w:p>
        </w:tc>
        <w:tc>
          <w:tcPr>
            <w:tcW w:w="1740" w:type="dxa"/>
            <w:tcBorders>
              <w:top w:val="nil"/>
              <w:left w:val="nil"/>
              <w:bottom w:val="nil"/>
              <w:right w:val="nil"/>
            </w:tcBorders>
            <w:vAlign w:val="center"/>
            <w:hideMark/>
          </w:tcPr>
          <w:p w14:paraId="423017CD" w14:textId="77777777" w:rsidR="00DE1000" w:rsidRPr="00DE1000" w:rsidRDefault="00DE1000" w:rsidP="00DE1000">
            <w:r w:rsidRPr="00DE1000">
              <w:t>$3,246</w:t>
            </w:r>
          </w:p>
        </w:tc>
      </w:tr>
      <w:tr w:rsidR="00DE1000" w:rsidRPr="00DE1000" w14:paraId="7505372E" w14:textId="77777777" w:rsidTr="00DE1000">
        <w:trPr>
          <w:trHeight w:val="360"/>
          <w:tblCellSpacing w:w="15" w:type="dxa"/>
        </w:trPr>
        <w:tc>
          <w:tcPr>
            <w:tcW w:w="1770" w:type="dxa"/>
            <w:tcBorders>
              <w:top w:val="nil"/>
              <w:left w:val="nil"/>
              <w:bottom w:val="nil"/>
              <w:right w:val="nil"/>
            </w:tcBorders>
            <w:vAlign w:val="center"/>
            <w:hideMark/>
          </w:tcPr>
          <w:p w14:paraId="10EBE38B" w14:textId="77777777" w:rsidR="00DE1000" w:rsidRPr="00DE1000" w:rsidRDefault="00DE1000" w:rsidP="00DE1000">
            <w:r w:rsidRPr="00DE1000">
              <w:t>Class B</w:t>
            </w:r>
          </w:p>
        </w:tc>
        <w:tc>
          <w:tcPr>
            <w:tcW w:w="1725" w:type="dxa"/>
            <w:tcBorders>
              <w:top w:val="nil"/>
              <w:left w:val="nil"/>
              <w:bottom w:val="nil"/>
              <w:right w:val="nil"/>
            </w:tcBorders>
            <w:vAlign w:val="center"/>
            <w:hideMark/>
          </w:tcPr>
          <w:p w14:paraId="44850232" w14:textId="77777777" w:rsidR="00DE1000" w:rsidRPr="00DE1000" w:rsidRDefault="00DE1000" w:rsidP="00DE1000">
            <w:r w:rsidRPr="00DE1000">
              <w:t>88,021</w:t>
            </w:r>
          </w:p>
        </w:tc>
        <w:tc>
          <w:tcPr>
            <w:tcW w:w="1800" w:type="dxa"/>
            <w:tcBorders>
              <w:top w:val="nil"/>
              <w:left w:val="nil"/>
              <w:bottom w:val="nil"/>
              <w:right w:val="nil"/>
            </w:tcBorders>
            <w:vAlign w:val="center"/>
            <w:hideMark/>
          </w:tcPr>
          <w:p w14:paraId="3DB20291" w14:textId="77777777" w:rsidR="00DE1000" w:rsidRPr="00DE1000" w:rsidRDefault="00DE1000" w:rsidP="00DE1000">
            <w:r w:rsidRPr="00DE1000">
              <w:t>3.6%</w:t>
            </w:r>
          </w:p>
        </w:tc>
        <w:tc>
          <w:tcPr>
            <w:tcW w:w="1740" w:type="dxa"/>
            <w:tcBorders>
              <w:top w:val="nil"/>
              <w:left w:val="nil"/>
              <w:bottom w:val="nil"/>
              <w:right w:val="nil"/>
            </w:tcBorders>
            <w:vAlign w:val="center"/>
            <w:hideMark/>
          </w:tcPr>
          <w:p w14:paraId="71195CAC" w14:textId="77777777" w:rsidR="00DE1000" w:rsidRPr="00DE1000" w:rsidRDefault="00DE1000" w:rsidP="00DE1000">
            <w:r w:rsidRPr="00DE1000">
              <w:t>$2,673</w:t>
            </w:r>
          </w:p>
        </w:tc>
      </w:tr>
      <w:tr w:rsidR="00DE1000" w:rsidRPr="00DE1000" w14:paraId="29E9F7E7" w14:textId="77777777" w:rsidTr="00DE1000">
        <w:trPr>
          <w:trHeight w:val="360"/>
          <w:tblCellSpacing w:w="15" w:type="dxa"/>
        </w:trPr>
        <w:tc>
          <w:tcPr>
            <w:tcW w:w="1770" w:type="dxa"/>
            <w:tcBorders>
              <w:top w:val="nil"/>
              <w:left w:val="nil"/>
              <w:bottom w:val="nil"/>
              <w:right w:val="nil"/>
            </w:tcBorders>
            <w:vAlign w:val="center"/>
            <w:hideMark/>
          </w:tcPr>
          <w:p w14:paraId="6422D3EC" w14:textId="77777777" w:rsidR="00DE1000" w:rsidRPr="00DE1000" w:rsidRDefault="00DE1000" w:rsidP="00DE1000">
            <w:r w:rsidRPr="00DE1000">
              <w:t>Class C</w:t>
            </w:r>
          </w:p>
        </w:tc>
        <w:tc>
          <w:tcPr>
            <w:tcW w:w="1725" w:type="dxa"/>
            <w:tcBorders>
              <w:top w:val="nil"/>
              <w:left w:val="nil"/>
              <w:bottom w:val="nil"/>
              <w:right w:val="nil"/>
            </w:tcBorders>
            <w:vAlign w:val="center"/>
            <w:hideMark/>
          </w:tcPr>
          <w:p w14:paraId="2728FA73" w14:textId="77777777" w:rsidR="00DE1000" w:rsidRPr="00DE1000" w:rsidRDefault="00DE1000" w:rsidP="00DE1000">
            <w:r w:rsidRPr="00DE1000">
              <w:t>95,909</w:t>
            </w:r>
          </w:p>
        </w:tc>
        <w:tc>
          <w:tcPr>
            <w:tcW w:w="1800" w:type="dxa"/>
            <w:tcBorders>
              <w:top w:val="nil"/>
              <w:left w:val="nil"/>
              <w:bottom w:val="nil"/>
              <w:right w:val="nil"/>
            </w:tcBorders>
            <w:vAlign w:val="center"/>
            <w:hideMark/>
          </w:tcPr>
          <w:p w14:paraId="6A1CCEF6" w14:textId="77777777" w:rsidR="00DE1000" w:rsidRPr="00DE1000" w:rsidRDefault="00DE1000" w:rsidP="00DE1000">
            <w:r w:rsidRPr="00DE1000">
              <w:t>3.1%</w:t>
            </w:r>
          </w:p>
        </w:tc>
        <w:tc>
          <w:tcPr>
            <w:tcW w:w="1740" w:type="dxa"/>
            <w:tcBorders>
              <w:top w:val="nil"/>
              <w:left w:val="nil"/>
              <w:bottom w:val="nil"/>
              <w:right w:val="nil"/>
            </w:tcBorders>
            <w:vAlign w:val="center"/>
            <w:hideMark/>
          </w:tcPr>
          <w:p w14:paraId="6E3CB49E" w14:textId="77777777" w:rsidR="00DE1000" w:rsidRPr="00DE1000" w:rsidRDefault="00DE1000" w:rsidP="00DE1000">
            <w:r w:rsidRPr="00DE1000">
              <w:t>$2,074</w:t>
            </w:r>
          </w:p>
        </w:tc>
      </w:tr>
    </w:tbl>
    <w:p w14:paraId="0FD81EFB" w14:textId="77777777" w:rsidR="00DE1000" w:rsidRPr="00DE1000" w:rsidRDefault="00DE1000" w:rsidP="00DE1000">
      <w:r w:rsidRPr="00DE1000">
        <w:t> </w:t>
      </w:r>
    </w:p>
    <w:p w14:paraId="7129304A" w14:textId="4B791CA9" w:rsidR="00DE1000" w:rsidRPr="00DE1000" w:rsidRDefault="00DE1000" w:rsidP="00DE1000">
      <w:r w:rsidRPr="00DE1000">
        <w:lastRenderedPageBreak/>
        <w:drawing>
          <wp:inline distT="0" distB="0" distL="0" distR="0" wp14:anchorId="5C69A445" wp14:editId="424AD278">
            <wp:extent cx="5943600" cy="3670935"/>
            <wp:effectExtent l="0" t="0" r="0" b="5715"/>
            <wp:docPr id="2100263760" name="Picture 5" descr="Graph representing orange county multifamily supply and dem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aph representing orange county multifamily supply and dem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70935"/>
                    </a:xfrm>
                    <a:prstGeom prst="rect">
                      <a:avLst/>
                    </a:prstGeom>
                    <a:noFill/>
                    <a:ln>
                      <a:noFill/>
                    </a:ln>
                  </pic:spPr>
                </pic:pic>
              </a:graphicData>
            </a:graphic>
          </wp:inline>
        </w:drawing>
      </w:r>
    </w:p>
    <w:p w14:paraId="542E6E0F" w14:textId="77777777" w:rsidR="00DE1000" w:rsidRPr="00DE1000" w:rsidRDefault="00DE1000" w:rsidP="00DE1000">
      <w:r w:rsidRPr="00DE1000">
        <w:t>Orange County apartment development remains limited due to land constraints and, at times, difficult approval processes. For example, a 500-unit Anaheim Hills development was denied in November 2024 owing to concerns over density and wildfire evacuation. A few major developments will open in Anaheim and Santa Ana in 2024. Cypress and Laguna Niguel both experienced rare supply additions. However, development is historic and continues to be centered in the booming city of Irvine, where more than 4,000 apartments are under construction and will be delivered in the next few years.</w:t>
      </w:r>
    </w:p>
    <w:p w14:paraId="144113F0" w14:textId="77777777" w:rsidR="00DE1000" w:rsidRPr="00DE1000" w:rsidRDefault="00DE1000" w:rsidP="00DE1000">
      <w:r w:rsidRPr="00DE1000">
        <w:t>Despite a nationwide slowdown in sales activity caused by increased interest rates and tighter credit conditions, Orange County’s apartment market remained resilient. In 2024, approximately 150 transactions were completed, up 20% from the </w:t>
      </w:r>
      <w:hyperlink r:id="rId9" w:history="1">
        <w:r w:rsidRPr="00DE1000">
          <w:rPr>
            <w:rStyle w:val="Hyperlink"/>
          </w:rPr>
          <w:t>low of 2023</w:t>
        </w:r>
      </w:hyperlink>
      <w:r w:rsidRPr="00DE1000">
        <w:t> but still significantly below historical averages, while sales volume increased marginally to $1.4 billion.</w:t>
      </w:r>
    </w:p>
    <w:p w14:paraId="1FA6938A" w14:textId="6B745079" w:rsidR="00DE1000" w:rsidRPr="00DE1000" w:rsidRDefault="00DE1000" w:rsidP="00DE1000">
      <w:r w:rsidRPr="00DE1000">
        <w:lastRenderedPageBreak/>
        <w:drawing>
          <wp:inline distT="0" distB="0" distL="0" distR="0" wp14:anchorId="5BCFDE88" wp14:editId="7AECDA01">
            <wp:extent cx="5346700" cy="3308350"/>
            <wp:effectExtent l="0" t="0" r="6350" b="6350"/>
            <wp:docPr id="2092985129" name="Picture 4" descr="Orange County Sales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range County Sales Volu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6700" cy="3308350"/>
                    </a:xfrm>
                    <a:prstGeom prst="rect">
                      <a:avLst/>
                    </a:prstGeom>
                    <a:noFill/>
                    <a:ln>
                      <a:noFill/>
                    </a:ln>
                  </pic:spPr>
                </pic:pic>
              </a:graphicData>
            </a:graphic>
          </wp:inline>
        </w:drawing>
      </w:r>
    </w:p>
    <w:p w14:paraId="5476D532" w14:textId="77777777" w:rsidR="00DE1000" w:rsidRPr="00DE1000" w:rsidRDefault="00DE1000" w:rsidP="00DE1000">
      <w:r w:rsidRPr="00DE1000">
        <w:t> </w:t>
      </w:r>
    </w:p>
    <w:p w14:paraId="6DDDC49D" w14:textId="77777777" w:rsidR="00DE1000" w:rsidRPr="00DE1000" w:rsidRDefault="00DE1000" w:rsidP="00DE1000">
      <w:pPr>
        <w:rPr>
          <w:b/>
          <w:bCs/>
        </w:rPr>
      </w:pPr>
      <w:r w:rsidRPr="00DE1000">
        <w:rPr>
          <w:b/>
          <w:bCs/>
        </w:rPr>
        <w:t>Submarket Highlights</w:t>
      </w:r>
    </w:p>
    <w:tbl>
      <w:tblPr>
        <w:tblW w:w="11655" w:type="dxa"/>
        <w:tblCellSpacing w:w="15" w:type="dxa"/>
        <w:tblBorders>
          <w:top w:val="single" w:sz="24" w:space="0" w:color="000000"/>
          <w:left w:val="single" w:sz="24" w:space="0" w:color="000000"/>
          <w:bottom w:val="single" w:sz="24" w:space="0" w:color="000000"/>
          <w:right w:val="single" w:sz="24" w:space="0" w:color="000000"/>
        </w:tblBorders>
        <w:tblCellMar>
          <w:top w:w="15" w:type="dxa"/>
          <w:left w:w="15" w:type="dxa"/>
          <w:bottom w:w="15" w:type="dxa"/>
          <w:right w:w="15" w:type="dxa"/>
        </w:tblCellMar>
        <w:tblLook w:val="04A0" w:firstRow="1" w:lastRow="0" w:firstColumn="1" w:lastColumn="0" w:noHBand="0" w:noVBand="1"/>
      </w:tblPr>
      <w:tblGrid>
        <w:gridCol w:w="1384"/>
        <w:gridCol w:w="1271"/>
        <w:gridCol w:w="1087"/>
        <w:gridCol w:w="1096"/>
        <w:gridCol w:w="1355"/>
        <w:gridCol w:w="1715"/>
        <w:gridCol w:w="2084"/>
        <w:gridCol w:w="1663"/>
      </w:tblGrid>
      <w:tr w:rsidR="00DE1000" w:rsidRPr="00DE1000" w14:paraId="623E7CEE" w14:textId="77777777" w:rsidTr="00DE1000">
        <w:trPr>
          <w:tblCellSpacing w:w="15" w:type="dxa"/>
        </w:trPr>
        <w:tc>
          <w:tcPr>
            <w:tcW w:w="1350" w:type="dxa"/>
            <w:tcBorders>
              <w:top w:val="nil"/>
              <w:left w:val="nil"/>
              <w:bottom w:val="nil"/>
              <w:right w:val="nil"/>
            </w:tcBorders>
            <w:vAlign w:val="center"/>
            <w:hideMark/>
          </w:tcPr>
          <w:p w14:paraId="6FCCB8FD" w14:textId="77777777" w:rsidR="00DE1000" w:rsidRPr="00DE1000" w:rsidRDefault="00DE1000" w:rsidP="00DE1000">
            <w:r w:rsidRPr="00DE1000">
              <w:t>Submarket</w:t>
            </w:r>
          </w:p>
        </w:tc>
        <w:tc>
          <w:tcPr>
            <w:tcW w:w="1260" w:type="dxa"/>
            <w:tcBorders>
              <w:top w:val="nil"/>
              <w:left w:val="nil"/>
              <w:bottom w:val="nil"/>
              <w:right w:val="nil"/>
            </w:tcBorders>
            <w:vAlign w:val="center"/>
            <w:hideMark/>
          </w:tcPr>
          <w:p w14:paraId="1BE1A8CA" w14:textId="77777777" w:rsidR="00DE1000" w:rsidRPr="00DE1000" w:rsidRDefault="00DE1000" w:rsidP="00DE1000">
            <w:r w:rsidRPr="00DE1000">
              <w:t>Average Rent/Unit</w:t>
            </w:r>
          </w:p>
        </w:tc>
        <w:tc>
          <w:tcPr>
            <w:tcW w:w="1080" w:type="dxa"/>
            <w:tcBorders>
              <w:top w:val="nil"/>
              <w:left w:val="nil"/>
              <w:bottom w:val="nil"/>
              <w:right w:val="nil"/>
            </w:tcBorders>
            <w:vAlign w:val="center"/>
            <w:hideMark/>
          </w:tcPr>
          <w:p w14:paraId="3B150FFF" w14:textId="77777777" w:rsidR="00DE1000" w:rsidRPr="00DE1000" w:rsidRDefault="00DE1000" w:rsidP="00DE1000">
            <w:r w:rsidRPr="00DE1000">
              <w:t>Annual Rent Growth</w:t>
            </w:r>
          </w:p>
        </w:tc>
        <w:tc>
          <w:tcPr>
            <w:tcW w:w="1080" w:type="dxa"/>
            <w:tcBorders>
              <w:top w:val="nil"/>
              <w:left w:val="nil"/>
              <w:bottom w:val="nil"/>
              <w:right w:val="nil"/>
            </w:tcBorders>
            <w:vAlign w:val="center"/>
            <w:hideMark/>
          </w:tcPr>
          <w:p w14:paraId="32136F79" w14:textId="77777777" w:rsidR="00DE1000" w:rsidRPr="00DE1000" w:rsidRDefault="00DE1000" w:rsidP="00DE1000">
            <w:r w:rsidRPr="00DE1000">
              <w:t>Vacancy Rate</w:t>
            </w:r>
          </w:p>
        </w:tc>
        <w:tc>
          <w:tcPr>
            <w:tcW w:w="1350" w:type="dxa"/>
            <w:tcBorders>
              <w:top w:val="nil"/>
              <w:left w:val="nil"/>
              <w:bottom w:val="nil"/>
              <w:right w:val="nil"/>
            </w:tcBorders>
            <w:vAlign w:val="center"/>
            <w:hideMark/>
          </w:tcPr>
          <w:p w14:paraId="2EA83386" w14:textId="77777777" w:rsidR="00DE1000" w:rsidRPr="00DE1000" w:rsidRDefault="00DE1000" w:rsidP="00DE1000">
            <w:r w:rsidRPr="00DE1000">
              <w:t>12-Month Units Absorbed</w:t>
            </w:r>
          </w:p>
        </w:tc>
        <w:tc>
          <w:tcPr>
            <w:tcW w:w="1710" w:type="dxa"/>
            <w:tcBorders>
              <w:top w:val="nil"/>
              <w:left w:val="nil"/>
              <w:bottom w:val="nil"/>
              <w:right w:val="nil"/>
            </w:tcBorders>
            <w:vAlign w:val="center"/>
            <w:hideMark/>
          </w:tcPr>
          <w:p w14:paraId="05CD68DC" w14:textId="77777777" w:rsidR="00DE1000" w:rsidRPr="00DE1000" w:rsidRDefault="00DE1000" w:rsidP="00DE1000">
            <w:r w:rsidRPr="00DE1000">
              <w:t>Units Under Construction</w:t>
            </w:r>
          </w:p>
        </w:tc>
        <w:tc>
          <w:tcPr>
            <w:tcW w:w="2160" w:type="dxa"/>
            <w:tcBorders>
              <w:top w:val="nil"/>
              <w:left w:val="nil"/>
              <w:bottom w:val="nil"/>
              <w:right w:val="nil"/>
            </w:tcBorders>
            <w:vAlign w:val="center"/>
            <w:hideMark/>
          </w:tcPr>
          <w:p w14:paraId="343C76D8" w14:textId="77777777" w:rsidR="00DE1000" w:rsidRPr="00DE1000" w:rsidRDefault="00DE1000" w:rsidP="00DE1000">
            <w:r w:rsidRPr="00DE1000">
              <w:t>12-Month Sales Volume</w:t>
            </w:r>
          </w:p>
        </w:tc>
        <w:tc>
          <w:tcPr>
            <w:tcW w:w="1665" w:type="dxa"/>
            <w:tcBorders>
              <w:top w:val="nil"/>
              <w:left w:val="nil"/>
              <w:bottom w:val="nil"/>
              <w:right w:val="nil"/>
            </w:tcBorders>
            <w:vAlign w:val="center"/>
            <w:hideMark/>
          </w:tcPr>
          <w:p w14:paraId="0EA81BC8" w14:textId="77777777" w:rsidR="00DE1000" w:rsidRPr="00DE1000" w:rsidRDefault="00DE1000" w:rsidP="00DE1000">
            <w:r w:rsidRPr="00DE1000">
              <w:t>Avg Price/Unit</w:t>
            </w:r>
          </w:p>
        </w:tc>
      </w:tr>
      <w:tr w:rsidR="00DE1000" w:rsidRPr="00DE1000" w14:paraId="58EEA70E" w14:textId="77777777" w:rsidTr="00DE1000">
        <w:trPr>
          <w:tblCellSpacing w:w="15" w:type="dxa"/>
        </w:trPr>
        <w:tc>
          <w:tcPr>
            <w:tcW w:w="1350" w:type="dxa"/>
            <w:tcBorders>
              <w:top w:val="nil"/>
              <w:left w:val="nil"/>
              <w:bottom w:val="nil"/>
              <w:right w:val="nil"/>
            </w:tcBorders>
            <w:vAlign w:val="center"/>
            <w:hideMark/>
          </w:tcPr>
          <w:p w14:paraId="124B95EC" w14:textId="77777777" w:rsidR="00DE1000" w:rsidRPr="00DE1000" w:rsidRDefault="00DE1000" w:rsidP="00DE1000">
            <w:r w:rsidRPr="00DE1000">
              <w:t>Anaheim</w:t>
            </w:r>
          </w:p>
        </w:tc>
        <w:tc>
          <w:tcPr>
            <w:tcW w:w="1260" w:type="dxa"/>
            <w:tcBorders>
              <w:top w:val="nil"/>
              <w:left w:val="nil"/>
              <w:bottom w:val="nil"/>
              <w:right w:val="nil"/>
            </w:tcBorders>
            <w:vAlign w:val="center"/>
            <w:hideMark/>
          </w:tcPr>
          <w:p w14:paraId="78C341F1" w14:textId="77777777" w:rsidR="00DE1000" w:rsidRPr="00DE1000" w:rsidRDefault="00DE1000" w:rsidP="00DE1000">
            <w:r w:rsidRPr="00DE1000">
              <w:t>$2,280</w:t>
            </w:r>
          </w:p>
        </w:tc>
        <w:tc>
          <w:tcPr>
            <w:tcW w:w="1080" w:type="dxa"/>
            <w:tcBorders>
              <w:top w:val="nil"/>
              <w:left w:val="nil"/>
              <w:bottom w:val="nil"/>
              <w:right w:val="nil"/>
            </w:tcBorders>
            <w:vAlign w:val="center"/>
            <w:hideMark/>
          </w:tcPr>
          <w:p w14:paraId="75C5B821" w14:textId="77777777" w:rsidR="00DE1000" w:rsidRPr="00DE1000" w:rsidRDefault="00DE1000" w:rsidP="00DE1000">
            <w:r w:rsidRPr="00DE1000">
              <w:t>2.0%</w:t>
            </w:r>
          </w:p>
        </w:tc>
        <w:tc>
          <w:tcPr>
            <w:tcW w:w="1080" w:type="dxa"/>
            <w:tcBorders>
              <w:top w:val="nil"/>
              <w:left w:val="nil"/>
              <w:bottom w:val="nil"/>
              <w:right w:val="nil"/>
            </w:tcBorders>
            <w:vAlign w:val="center"/>
            <w:hideMark/>
          </w:tcPr>
          <w:p w14:paraId="3D35B450" w14:textId="77777777" w:rsidR="00DE1000" w:rsidRPr="00DE1000" w:rsidRDefault="00DE1000" w:rsidP="00DE1000">
            <w:r w:rsidRPr="00DE1000">
              <w:t>4.8%</w:t>
            </w:r>
          </w:p>
        </w:tc>
        <w:tc>
          <w:tcPr>
            <w:tcW w:w="1350" w:type="dxa"/>
            <w:tcBorders>
              <w:top w:val="nil"/>
              <w:left w:val="nil"/>
              <w:bottom w:val="nil"/>
              <w:right w:val="nil"/>
            </w:tcBorders>
            <w:vAlign w:val="center"/>
            <w:hideMark/>
          </w:tcPr>
          <w:p w14:paraId="5053314F" w14:textId="77777777" w:rsidR="00DE1000" w:rsidRPr="00DE1000" w:rsidRDefault="00DE1000" w:rsidP="00DE1000">
            <w:r w:rsidRPr="00DE1000">
              <w:t>121</w:t>
            </w:r>
          </w:p>
        </w:tc>
        <w:tc>
          <w:tcPr>
            <w:tcW w:w="1710" w:type="dxa"/>
            <w:tcBorders>
              <w:top w:val="nil"/>
              <w:left w:val="nil"/>
              <w:bottom w:val="nil"/>
              <w:right w:val="nil"/>
            </w:tcBorders>
            <w:vAlign w:val="center"/>
            <w:hideMark/>
          </w:tcPr>
          <w:p w14:paraId="22979225" w14:textId="77777777" w:rsidR="00DE1000" w:rsidRPr="00DE1000" w:rsidRDefault="00DE1000" w:rsidP="00DE1000">
            <w:r w:rsidRPr="00DE1000">
              <w:t>0</w:t>
            </w:r>
          </w:p>
        </w:tc>
        <w:tc>
          <w:tcPr>
            <w:tcW w:w="2160" w:type="dxa"/>
            <w:tcBorders>
              <w:top w:val="nil"/>
              <w:left w:val="nil"/>
              <w:bottom w:val="nil"/>
              <w:right w:val="nil"/>
            </w:tcBorders>
            <w:vAlign w:val="center"/>
            <w:hideMark/>
          </w:tcPr>
          <w:p w14:paraId="2BCE653E" w14:textId="77777777" w:rsidR="00DE1000" w:rsidRPr="00DE1000" w:rsidRDefault="00DE1000" w:rsidP="00DE1000">
            <w:r w:rsidRPr="00DE1000">
              <w:t>$397M</w:t>
            </w:r>
          </w:p>
        </w:tc>
        <w:tc>
          <w:tcPr>
            <w:tcW w:w="1665" w:type="dxa"/>
            <w:tcBorders>
              <w:top w:val="nil"/>
              <w:left w:val="nil"/>
              <w:bottom w:val="nil"/>
              <w:right w:val="nil"/>
            </w:tcBorders>
            <w:vAlign w:val="center"/>
            <w:hideMark/>
          </w:tcPr>
          <w:p w14:paraId="280EC029" w14:textId="77777777" w:rsidR="00DE1000" w:rsidRPr="00DE1000" w:rsidRDefault="00DE1000" w:rsidP="00DE1000">
            <w:r w:rsidRPr="00DE1000">
              <w:t>$370K</w:t>
            </w:r>
          </w:p>
        </w:tc>
      </w:tr>
      <w:tr w:rsidR="00DE1000" w:rsidRPr="00DE1000" w14:paraId="3A4D50A6" w14:textId="77777777" w:rsidTr="00DE1000">
        <w:trPr>
          <w:tblCellSpacing w:w="15" w:type="dxa"/>
        </w:trPr>
        <w:tc>
          <w:tcPr>
            <w:tcW w:w="1350" w:type="dxa"/>
            <w:tcBorders>
              <w:top w:val="nil"/>
              <w:left w:val="nil"/>
              <w:bottom w:val="nil"/>
              <w:right w:val="nil"/>
            </w:tcBorders>
            <w:vAlign w:val="center"/>
            <w:hideMark/>
          </w:tcPr>
          <w:p w14:paraId="568BACD6" w14:textId="77777777" w:rsidR="00DE1000" w:rsidRPr="00DE1000" w:rsidRDefault="00DE1000" w:rsidP="00DE1000">
            <w:r w:rsidRPr="00DE1000">
              <w:t>Central OC East of I-5</w:t>
            </w:r>
          </w:p>
        </w:tc>
        <w:tc>
          <w:tcPr>
            <w:tcW w:w="1260" w:type="dxa"/>
            <w:tcBorders>
              <w:top w:val="nil"/>
              <w:left w:val="nil"/>
              <w:bottom w:val="nil"/>
              <w:right w:val="nil"/>
            </w:tcBorders>
            <w:vAlign w:val="center"/>
            <w:hideMark/>
          </w:tcPr>
          <w:p w14:paraId="47726509" w14:textId="77777777" w:rsidR="00DE1000" w:rsidRPr="00DE1000" w:rsidRDefault="00DE1000" w:rsidP="00DE1000">
            <w:r w:rsidRPr="00DE1000">
              <w:t>$2,538</w:t>
            </w:r>
          </w:p>
        </w:tc>
        <w:tc>
          <w:tcPr>
            <w:tcW w:w="1080" w:type="dxa"/>
            <w:tcBorders>
              <w:top w:val="nil"/>
              <w:left w:val="nil"/>
              <w:bottom w:val="nil"/>
              <w:right w:val="nil"/>
            </w:tcBorders>
            <w:vAlign w:val="center"/>
            <w:hideMark/>
          </w:tcPr>
          <w:p w14:paraId="0A9AD534" w14:textId="77777777" w:rsidR="00DE1000" w:rsidRPr="00DE1000" w:rsidRDefault="00DE1000" w:rsidP="00DE1000">
            <w:r w:rsidRPr="00DE1000">
              <w:t>2.2%</w:t>
            </w:r>
          </w:p>
        </w:tc>
        <w:tc>
          <w:tcPr>
            <w:tcW w:w="1080" w:type="dxa"/>
            <w:tcBorders>
              <w:top w:val="nil"/>
              <w:left w:val="nil"/>
              <w:bottom w:val="nil"/>
              <w:right w:val="nil"/>
            </w:tcBorders>
            <w:vAlign w:val="center"/>
            <w:hideMark/>
          </w:tcPr>
          <w:p w14:paraId="70F1D194" w14:textId="77777777" w:rsidR="00DE1000" w:rsidRPr="00DE1000" w:rsidRDefault="00DE1000" w:rsidP="00DE1000">
            <w:r w:rsidRPr="00DE1000">
              <w:t>3.7%</w:t>
            </w:r>
          </w:p>
        </w:tc>
        <w:tc>
          <w:tcPr>
            <w:tcW w:w="1350" w:type="dxa"/>
            <w:tcBorders>
              <w:top w:val="nil"/>
              <w:left w:val="nil"/>
              <w:bottom w:val="nil"/>
              <w:right w:val="nil"/>
            </w:tcBorders>
            <w:vAlign w:val="center"/>
            <w:hideMark/>
          </w:tcPr>
          <w:p w14:paraId="0802029F" w14:textId="77777777" w:rsidR="00DE1000" w:rsidRPr="00DE1000" w:rsidRDefault="00DE1000" w:rsidP="00DE1000">
            <w:r w:rsidRPr="00DE1000">
              <w:t>179</w:t>
            </w:r>
          </w:p>
        </w:tc>
        <w:tc>
          <w:tcPr>
            <w:tcW w:w="1710" w:type="dxa"/>
            <w:tcBorders>
              <w:top w:val="nil"/>
              <w:left w:val="nil"/>
              <w:bottom w:val="nil"/>
              <w:right w:val="nil"/>
            </w:tcBorders>
            <w:vAlign w:val="center"/>
            <w:hideMark/>
          </w:tcPr>
          <w:p w14:paraId="502B37F2" w14:textId="77777777" w:rsidR="00DE1000" w:rsidRPr="00DE1000" w:rsidRDefault="00DE1000" w:rsidP="00DE1000">
            <w:r w:rsidRPr="00DE1000">
              <w:t>0</w:t>
            </w:r>
          </w:p>
        </w:tc>
        <w:tc>
          <w:tcPr>
            <w:tcW w:w="2160" w:type="dxa"/>
            <w:tcBorders>
              <w:top w:val="nil"/>
              <w:left w:val="nil"/>
              <w:bottom w:val="nil"/>
              <w:right w:val="nil"/>
            </w:tcBorders>
            <w:vAlign w:val="center"/>
            <w:hideMark/>
          </w:tcPr>
          <w:p w14:paraId="250E22DF" w14:textId="77777777" w:rsidR="00DE1000" w:rsidRPr="00DE1000" w:rsidRDefault="00DE1000" w:rsidP="00DE1000">
            <w:r w:rsidRPr="00DE1000">
              <w:t>$194M</w:t>
            </w:r>
          </w:p>
        </w:tc>
        <w:tc>
          <w:tcPr>
            <w:tcW w:w="1665" w:type="dxa"/>
            <w:tcBorders>
              <w:top w:val="nil"/>
              <w:left w:val="nil"/>
              <w:bottom w:val="nil"/>
              <w:right w:val="nil"/>
            </w:tcBorders>
            <w:vAlign w:val="center"/>
            <w:hideMark/>
          </w:tcPr>
          <w:p w14:paraId="2A5C8454" w14:textId="77777777" w:rsidR="00DE1000" w:rsidRPr="00DE1000" w:rsidRDefault="00DE1000" w:rsidP="00DE1000">
            <w:r w:rsidRPr="00DE1000">
              <w:t>$409K</w:t>
            </w:r>
          </w:p>
        </w:tc>
      </w:tr>
      <w:tr w:rsidR="00DE1000" w:rsidRPr="00DE1000" w14:paraId="19DB2BF3" w14:textId="77777777" w:rsidTr="00DE1000">
        <w:trPr>
          <w:tblCellSpacing w:w="15" w:type="dxa"/>
        </w:trPr>
        <w:tc>
          <w:tcPr>
            <w:tcW w:w="1350" w:type="dxa"/>
            <w:tcBorders>
              <w:top w:val="nil"/>
              <w:left w:val="nil"/>
              <w:bottom w:val="nil"/>
              <w:right w:val="nil"/>
            </w:tcBorders>
            <w:vAlign w:val="center"/>
            <w:hideMark/>
          </w:tcPr>
          <w:p w14:paraId="431BCABE" w14:textId="77777777" w:rsidR="00DE1000" w:rsidRPr="00DE1000" w:rsidRDefault="00DE1000" w:rsidP="00DE1000">
            <w:r w:rsidRPr="00DE1000">
              <w:t>Central OC West of I-5</w:t>
            </w:r>
          </w:p>
        </w:tc>
        <w:tc>
          <w:tcPr>
            <w:tcW w:w="1260" w:type="dxa"/>
            <w:tcBorders>
              <w:top w:val="nil"/>
              <w:left w:val="nil"/>
              <w:bottom w:val="nil"/>
              <w:right w:val="nil"/>
            </w:tcBorders>
            <w:vAlign w:val="center"/>
            <w:hideMark/>
          </w:tcPr>
          <w:p w14:paraId="1C3DBE15" w14:textId="77777777" w:rsidR="00DE1000" w:rsidRPr="00DE1000" w:rsidRDefault="00DE1000" w:rsidP="00DE1000">
            <w:r w:rsidRPr="00DE1000">
              <w:t>$2,358</w:t>
            </w:r>
          </w:p>
        </w:tc>
        <w:tc>
          <w:tcPr>
            <w:tcW w:w="1080" w:type="dxa"/>
            <w:tcBorders>
              <w:top w:val="nil"/>
              <w:left w:val="nil"/>
              <w:bottom w:val="nil"/>
              <w:right w:val="nil"/>
            </w:tcBorders>
            <w:vAlign w:val="center"/>
            <w:hideMark/>
          </w:tcPr>
          <w:p w14:paraId="07B1E40E" w14:textId="77777777" w:rsidR="00DE1000" w:rsidRPr="00DE1000" w:rsidRDefault="00DE1000" w:rsidP="00DE1000">
            <w:r w:rsidRPr="00DE1000">
              <w:t>1.5%</w:t>
            </w:r>
          </w:p>
        </w:tc>
        <w:tc>
          <w:tcPr>
            <w:tcW w:w="1080" w:type="dxa"/>
            <w:tcBorders>
              <w:top w:val="nil"/>
              <w:left w:val="nil"/>
              <w:bottom w:val="nil"/>
              <w:right w:val="nil"/>
            </w:tcBorders>
            <w:vAlign w:val="center"/>
            <w:hideMark/>
          </w:tcPr>
          <w:p w14:paraId="4E8697F2" w14:textId="77777777" w:rsidR="00DE1000" w:rsidRPr="00DE1000" w:rsidRDefault="00DE1000" w:rsidP="00DE1000">
            <w:r w:rsidRPr="00DE1000">
              <w:t>3.6%</w:t>
            </w:r>
          </w:p>
        </w:tc>
        <w:tc>
          <w:tcPr>
            <w:tcW w:w="1350" w:type="dxa"/>
            <w:tcBorders>
              <w:top w:val="nil"/>
              <w:left w:val="nil"/>
              <w:bottom w:val="nil"/>
              <w:right w:val="nil"/>
            </w:tcBorders>
            <w:vAlign w:val="center"/>
            <w:hideMark/>
          </w:tcPr>
          <w:p w14:paraId="1C7FF4DC" w14:textId="77777777" w:rsidR="00DE1000" w:rsidRPr="00DE1000" w:rsidRDefault="00DE1000" w:rsidP="00DE1000">
            <w:r w:rsidRPr="00DE1000">
              <w:t>454</w:t>
            </w:r>
          </w:p>
        </w:tc>
        <w:tc>
          <w:tcPr>
            <w:tcW w:w="1710" w:type="dxa"/>
            <w:tcBorders>
              <w:top w:val="nil"/>
              <w:left w:val="nil"/>
              <w:bottom w:val="nil"/>
              <w:right w:val="nil"/>
            </w:tcBorders>
            <w:vAlign w:val="center"/>
            <w:hideMark/>
          </w:tcPr>
          <w:p w14:paraId="73E15C82" w14:textId="77777777" w:rsidR="00DE1000" w:rsidRPr="00DE1000" w:rsidRDefault="00DE1000" w:rsidP="00DE1000">
            <w:r w:rsidRPr="00DE1000">
              <w:t>326</w:t>
            </w:r>
          </w:p>
        </w:tc>
        <w:tc>
          <w:tcPr>
            <w:tcW w:w="2160" w:type="dxa"/>
            <w:tcBorders>
              <w:top w:val="nil"/>
              <w:left w:val="nil"/>
              <w:bottom w:val="nil"/>
              <w:right w:val="nil"/>
            </w:tcBorders>
            <w:vAlign w:val="center"/>
            <w:hideMark/>
          </w:tcPr>
          <w:p w14:paraId="27A6D719" w14:textId="77777777" w:rsidR="00DE1000" w:rsidRPr="00DE1000" w:rsidRDefault="00DE1000" w:rsidP="00DE1000">
            <w:r w:rsidRPr="00DE1000">
              <w:t>$368M</w:t>
            </w:r>
          </w:p>
        </w:tc>
        <w:tc>
          <w:tcPr>
            <w:tcW w:w="1665" w:type="dxa"/>
            <w:tcBorders>
              <w:top w:val="nil"/>
              <w:left w:val="nil"/>
              <w:bottom w:val="nil"/>
              <w:right w:val="nil"/>
            </w:tcBorders>
            <w:vAlign w:val="center"/>
            <w:hideMark/>
          </w:tcPr>
          <w:p w14:paraId="469694E7" w14:textId="77777777" w:rsidR="00DE1000" w:rsidRPr="00DE1000" w:rsidRDefault="00DE1000" w:rsidP="00DE1000">
            <w:r w:rsidRPr="00DE1000">
              <w:t>$389K</w:t>
            </w:r>
          </w:p>
        </w:tc>
      </w:tr>
      <w:tr w:rsidR="00DE1000" w:rsidRPr="00DE1000" w14:paraId="4A731915" w14:textId="77777777" w:rsidTr="00DE1000">
        <w:trPr>
          <w:tblCellSpacing w:w="15" w:type="dxa"/>
        </w:trPr>
        <w:tc>
          <w:tcPr>
            <w:tcW w:w="1350" w:type="dxa"/>
            <w:tcBorders>
              <w:top w:val="nil"/>
              <w:left w:val="nil"/>
              <w:bottom w:val="nil"/>
              <w:right w:val="nil"/>
            </w:tcBorders>
            <w:vAlign w:val="center"/>
            <w:hideMark/>
          </w:tcPr>
          <w:p w14:paraId="0831CE71" w14:textId="77777777" w:rsidR="00DE1000" w:rsidRPr="00DE1000" w:rsidRDefault="00DE1000" w:rsidP="00DE1000">
            <w:r w:rsidRPr="00DE1000">
              <w:t>Costa Mesa</w:t>
            </w:r>
          </w:p>
        </w:tc>
        <w:tc>
          <w:tcPr>
            <w:tcW w:w="1260" w:type="dxa"/>
            <w:tcBorders>
              <w:top w:val="nil"/>
              <w:left w:val="nil"/>
              <w:bottom w:val="nil"/>
              <w:right w:val="nil"/>
            </w:tcBorders>
            <w:vAlign w:val="center"/>
            <w:hideMark/>
          </w:tcPr>
          <w:p w14:paraId="79C96B43" w14:textId="77777777" w:rsidR="00DE1000" w:rsidRPr="00DE1000" w:rsidRDefault="00DE1000" w:rsidP="00DE1000">
            <w:r w:rsidRPr="00DE1000">
              <w:t>$2,647</w:t>
            </w:r>
          </w:p>
        </w:tc>
        <w:tc>
          <w:tcPr>
            <w:tcW w:w="1080" w:type="dxa"/>
            <w:tcBorders>
              <w:top w:val="nil"/>
              <w:left w:val="nil"/>
              <w:bottom w:val="nil"/>
              <w:right w:val="nil"/>
            </w:tcBorders>
            <w:vAlign w:val="center"/>
            <w:hideMark/>
          </w:tcPr>
          <w:p w14:paraId="3F24DB9B" w14:textId="77777777" w:rsidR="00DE1000" w:rsidRPr="00DE1000" w:rsidRDefault="00DE1000" w:rsidP="00DE1000">
            <w:r w:rsidRPr="00DE1000">
              <w:t>1.9%</w:t>
            </w:r>
          </w:p>
        </w:tc>
        <w:tc>
          <w:tcPr>
            <w:tcW w:w="1080" w:type="dxa"/>
            <w:tcBorders>
              <w:top w:val="nil"/>
              <w:left w:val="nil"/>
              <w:bottom w:val="nil"/>
              <w:right w:val="nil"/>
            </w:tcBorders>
            <w:vAlign w:val="center"/>
            <w:hideMark/>
          </w:tcPr>
          <w:p w14:paraId="0409A34D" w14:textId="77777777" w:rsidR="00DE1000" w:rsidRPr="00DE1000" w:rsidRDefault="00DE1000" w:rsidP="00DE1000">
            <w:r w:rsidRPr="00DE1000">
              <w:t>3.6%</w:t>
            </w:r>
          </w:p>
        </w:tc>
        <w:tc>
          <w:tcPr>
            <w:tcW w:w="1350" w:type="dxa"/>
            <w:tcBorders>
              <w:top w:val="nil"/>
              <w:left w:val="nil"/>
              <w:bottom w:val="nil"/>
              <w:right w:val="nil"/>
            </w:tcBorders>
            <w:vAlign w:val="center"/>
            <w:hideMark/>
          </w:tcPr>
          <w:p w14:paraId="00CA7A39" w14:textId="77777777" w:rsidR="00DE1000" w:rsidRPr="00DE1000" w:rsidRDefault="00DE1000" w:rsidP="00DE1000">
            <w:r w:rsidRPr="00DE1000">
              <w:t>177</w:t>
            </w:r>
          </w:p>
        </w:tc>
        <w:tc>
          <w:tcPr>
            <w:tcW w:w="1710" w:type="dxa"/>
            <w:tcBorders>
              <w:top w:val="nil"/>
              <w:left w:val="nil"/>
              <w:bottom w:val="nil"/>
              <w:right w:val="nil"/>
            </w:tcBorders>
            <w:vAlign w:val="center"/>
            <w:hideMark/>
          </w:tcPr>
          <w:p w14:paraId="72BF877D" w14:textId="77777777" w:rsidR="00DE1000" w:rsidRPr="00DE1000" w:rsidRDefault="00DE1000" w:rsidP="00DE1000">
            <w:r w:rsidRPr="00DE1000">
              <w:t>0</w:t>
            </w:r>
          </w:p>
        </w:tc>
        <w:tc>
          <w:tcPr>
            <w:tcW w:w="2160" w:type="dxa"/>
            <w:tcBorders>
              <w:top w:val="nil"/>
              <w:left w:val="nil"/>
              <w:bottom w:val="nil"/>
              <w:right w:val="nil"/>
            </w:tcBorders>
            <w:vAlign w:val="center"/>
            <w:hideMark/>
          </w:tcPr>
          <w:p w14:paraId="38BDBBC0" w14:textId="77777777" w:rsidR="00DE1000" w:rsidRPr="00DE1000" w:rsidRDefault="00DE1000" w:rsidP="00DE1000">
            <w:r w:rsidRPr="00DE1000">
              <w:t>$65.3M</w:t>
            </w:r>
          </w:p>
        </w:tc>
        <w:tc>
          <w:tcPr>
            <w:tcW w:w="1665" w:type="dxa"/>
            <w:tcBorders>
              <w:top w:val="nil"/>
              <w:left w:val="nil"/>
              <w:bottom w:val="nil"/>
              <w:right w:val="nil"/>
            </w:tcBorders>
            <w:vAlign w:val="center"/>
            <w:hideMark/>
          </w:tcPr>
          <w:p w14:paraId="61D884FF" w14:textId="77777777" w:rsidR="00DE1000" w:rsidRPr="00DE1000" w:rsidRDefault="00DE1000" w:rsidP="00DE1000">
            <w:r w:rsidRPr="00DE1000">
              <w:t>$431K</w:t>
            </w:r>
          </w:p>
        </w:tc>
      </w:tr>
      <w:tr w:rsidR="00DE1000" w:rsidRPr="00DE1000" w14:paraId="0ECA9AFD" w14:textId="77777777" w:rsidTr="00DE1000">
        <w:trPr>
          <w:tblCellSpacing w:w="15" w:type="dxa"/>
        </w:trPr>
        <w:tc>
          <w:tcPr>
            <w:tcW w:w="1350" w:type="dxa"/>
            <w:tcBorders>
              <w:top w:val="nil"/>
              <w:left w:val="nil"/>
              <w:bottom w:val="nil"/>
              <w:right w:val="nil"/>
            </w:tcBorders>
            <w:vAlign w:val="center"/>
            <w:hideMark/>
          </w:tcPr>
          <w:p w14:paraId="3C960A6E" w14:textId="77777777" w:rsidR="00DE1000" w:rsidRPr="00DE1000" w:rsidRDefault="00DE1000" w:rsidP="00DE1000">
            <w:r w:rsidRPr="00DE1000">
              <w:t>Huntington Beach/Seal Beach</w:t>
            </w:r>
          </w:p>
        </w:tc>
        <w:tc>
          <w:tcPr>
            <w:tcW w:w="1260" w:type="dxa"/>
            <w:tcBorders>
              <w:top w:val="nil"/>
              <w:left w:val="nil"/>
              <w:bottom w:val="nil"/>
              <w:right w:val="nil"/>
            </w:tcBorders>
            <w:vAlign w:val="center"/>
            <w:hideMark/>
          </w:tcPr>
          <w:p w14:paraId="631AE298" w14:textId="77777777" w:rsidR="00DE1000" w:rsidRPr="00DE1000" w:rsidRDefault="00DE1000" w:rsidP="00DE1000">
            <w:r w:rsidRPr="00DE1000">
              <w:t>$2,658</w:t>
            </w:r>
          </w:p>
        </w:tc>
        <w:tc>
          <w:tcPr>
            <w:tcW w:w="1080" w:type="dxa"/>
            <w:tcBorders>
              <w:top w:val="nil"/>
              <w:left w:val="nil"/>
              <w:bottom w:val="nil"/>
              <w:right w:val="nil"/>
            </w:tcBorders>
            <w:vAlign w:val="center"/>
            <w:hideMark/>
          </w:tcPr>
          <w:p w14:paraId="1973C9BF" w14:textId="77777777" w:rsidR="00DE1000" w:rsidRPr="00DE1000" w:rsidRDefault="00DE1000" w:rsidP="00DE1000">
            <w:r w:rsidRPr="00DE1000">
              <w:t>-0.1%</w:t>
            </w:r>
          </w:p>
        </w:tc>
        <w:tc>
          <w:tcPr>
            <w:tcW w:w="1080" w:type="dxa"/>
            <w:tcBorders>
              <w:top w:val="nil"/>
              <w:left w:val="nil"/>
              <w:bottom w:val="nil"/>
              <w:right w:val="nil"/>
            </w:tcBorders>
            <w:vAlign w:val="center"/>
            <w:hideMark/>
          </w:tcPr>
          <w:p w14:paraId="0A0F66C7" w14:textId="77777777" w:rsidR="00DE1000" w:rsidRPr="00DE1000" w:rsidRDefault="00DE1000" w:rsidP="00DE1000">
            <w:r w:rsidRPr="00DE1000">
              <w:t>3.3%</w:t>
            </w:r>
          </w:p>
        </w:tc>
        <w:tc>
          <w:tcPr>
            <w:tcW w:w="1350" w:type="dxa"/>
            <w:tcBorders>
              <w:top w:val="nil"/>
              <w:left w:val="nil"/>
              <w:bottom w:val="nil"/>
              <w:right w:val="nil"/>
            </w:tcBorders>
            <w:vAlign w:val="center"/>
            <w:hideMark/>
          </w:tcPr>
          <w:p w14:paraId="0BE6913A" w14:textId="77777777" w:rsidR="00DE1000" w:rsidRPr="00DE1000" w:rsidRDefault="00DE1000" w:rsidP="00DE1000">
            <w:r w:rsidRPr="00DE1000">
              <w:t>30</w:t>
            </w:r>
          </w:p>
        </w:tc>
        <w:tc>
          <w:tcPr>
            <w:tcW w:w="1710" w:type="dxa"/>
            <w:tcBorders>
              <w:top w:val="nil"/>
              <w:left w:val="nil"/>
              <w:bottom w:val="nil"/>
              <w:right w:val="nil"/>
            </w:tcBorders>
            <w:vAlign w:val="center"/>
            <w:hideMark/>
          </w:tcPr>
          <w:p w14:paraId="275E02A3" w14:textId="77777777" w:rsidR="00DE1000" w:rsidRPr="00DE1000" w:rsidRDefault="00DE1000" w:rsidP="00DE1000">
            <w:r w:rsidRPr="00DE1000">
              <w:t>380</w:t>
            </w:r>
          </w:p>
        </w:tc>
        <w:tc>
          <w:tcPr>
            <w:tcW w:w="2160" w:type="dxa"/>
            <w:tcBorders>
              <w:top w:val="nil"/>
              <w:left w:val="nil"/>
              <w:bottom w:val="nil"/>
              <w:right w:val="nil"/>
            </w:tcBorders>
            <w:vAlign w:val="center"/>
            <w:hideMark/>
          </w:tcPr>
          <w:p w14:paraId="5C97F344" w14:textId="77777777" w:rsidR="00DE1000" w:rsidRPr="00DE1000" w:rsidRDefault="00DE1000" w:rsidP="00DE1000">
            <w:r w:rsidRPr="00DE1000">
              <w:t>$95.8M</w:t>
            </w:r>
          </w:p>
        </w:tc>
        <w:tc>
          <w:tcPr>
            <w:tcW w:w="1665" w:type="dxa"/>
            <w:tcBorders>
              <w:top w:val="nil"/>
              <w:left w:val="nil"/>
              <w:bottom w:val="nil"/>
              <w:right w:val="nil"/>
            </w:tcBorders>
            <w:vAlign w:val="center"/>
            <w:hideMark/>
          </w:tcPr>
          <w:p w14:paraId="4C5C5F8E" w14:textId="77777777" w:rsidR="00DE1000" w:rsidRPr="00DE1000" w:rsidRDefault="00DE1000" w:rsidP="00DE1000">
            <w:r w:rsidRPr="00DE1000">
              <w:t>$475K</w:t>
            </w:r>
          </w:p>
        </w:tc>
      </w:tr>
      <w:tr w:rsidR="00DE1000" w:rsidRPr="00DE1000" w14:paraId="43DED992" w14:textId="77777777" w:rsidTr="00DE1000">
        <w:trPr>
          <w:tblCellSpacing w:w="15" w:type="dxa"/>
        </w:trPr>
        <w:tc>
          <w:tcPr>
            <w:tcW w:w="1350" w:type="dxa"/>
            <w:tcBorders>
              <w:top w:val="nil"/>
              <w:left w:val="nil"/>
              <w:bottom w:val="nil"/>
              <w:right w:val="nil"/>
            </w:tcBorders>
            <w:vAlign w:val="center"/>
            <w:hideMark/>
          </w:tcPr>
          <w:p w14:paraId="0DA88B91" w14:textId="77777777" w:rsidR="00DE1000" w:rsidRPr="00DE1000" w:rsidRDefault="00DE1000" w:rsidP="00DE1000">
            <w:r w:rsidRPr="00DE1000">
              <w:t>Irvine</w:t>
            </w:r>
          </w:p>
        </w:tc>
        <w:tc>
          <w:tcPr>
            <w:tcW w:w="1260" w:type="dxa"/>
            <w:tcBorders>
              <w:top w:val="nil"/>
              <w:left w:val="nil"/>
              <w:bottom w:val="nil"/>
              <w:right w:val="nil"/>
            </w:tcBorders>
            <w:vAlign w:val="center"/>
            <w:hideMark/>
          </w:tcPr>
          <w:p w14:paraId="15FF013C" w14:textId="77777777" w:rsidR="00DE1000" w:rsidRPr="00DE1000" w:rsidRDefault="00DE1000" w:rsidP="00DE1000">
            <w:r w:rsidRPr="00DE1000">
              <w:t>$3,261</w:t>
            </w:r>
          </w:p>
        </w:tc>
        <w:tc>
          <w:tcPr>
            <w:tcW w:w="1080" w:type="dxa"/>
            <w:tcBorders>
              <w:top w:val="nil"/>
              <w:left w:val="nil"/>
              <w:bottom w:val="nil"/>
              <w:right w:val="nil"/>
            </w:tcBorders>
            <w:vAlign w:val="center"/>
            <w:hideMark/>
          </w:tcPr>
          <w:p w14:paraId="72DF202D" w14:textId="77777777" w:rsidR="00DE1000" w:rsidRPr="00DE1000" w:rsidRDefault="00DE1000" w:rsidP="00DE1000">
            <w:r w:rsidRPr="00DE1000">
              <w:t>-1.7%</w:t>
            </w:r>
          </w:p>
        </w:tc>
        <w:tc>
          <w:tcPr>
            <w:tcW w:w="1080" w:type="dxa"/>
            <w:tcBorders>
              <w:top w:val="nil"/>
              <w:left w:val="nil"/>
              <w:bottom w:val="nil"/>
              <w:right w:val="nil"/>
            </w:tcBorders>
            <w:vAlign w:val="center"/>
            <w:hideMark/>
          </w:tcPr>
          <w:p w14:paraId="74E26631" w14:textId="77777777" w:rsidR="00DE1000" w:rsidRPr="00DE1000" w:rsidRDefault="00DE1000" w:rsidP="00DE1000">
            <w:r w:rsidRPr="00DE1000">
              <w:t>4.2%</w:t>
            </w:r>
          </w:p>
        </w:tc>
        <w:tc>
          <w:tcPr>
            <w:tcW w:w="1350" w:type="dxa"/>
            <w:tcBorders>
              <w:top w:val="nil"/>
              <w:left w:val="nil"/>
              <w:bottom w:val="nil"/>
              <w:right w:val="nil"/>
            </w:tcBorders>
            <w:vAlign w:val="center"/>
            <w:hideMark/>
          </w:tcPr>
          <w:p w14:paraId="2C774BC8" w14:textId="77777777" w:rsidR="00DE1000" w:rsidRPr="00DE1000" w:rsidRDefault="00DE1000" w:rsidP="00DE1000">
            <w:r w:rsidRPr="00DE1000">
              <w:t>766</w:t>
            </w:r>
          </w:p>
        </w:tc>
        <w:tc>
          <w:tcPr>
            <w:tcW w:w="1710" w:type="dxa"/>
            <w:tcBorders>
              <w:top w:val="nil"/>
              <w:left w:val="nil"/>
              <w:bottom w:val="nil"/>
              <w:right w:val="nil"/>
            </w:tcBorders>
            <w:vAlign w:val="center"/>
            <w:hideMark/>
          </w:tcPr>
          <w:p w14:paraId="77A2F35F" w14:textId="77777777" w:rsidR="00DE1000" w:rsidRPr="00DE1000" w:rsidRDefault="00DE1000" w:rsidP="00DE1000">
            <w:r w:rsidRPr="00DE1000">
              <w:t>4,197</w:t>
            </w:r>
          </w:p>
        </w:tc>
        <w:tc>
          <w:tcPr>
            <w:tcW w:w="2160" w:type="dxa"/>
            <w:tcBorders>
              <w:top w:val="nil"/>
              <w:left w:val="nil"/>
              <w:bottom w:val="nil"/>
              <w:right w:val="nil"/>
            </w:tcBorders>
            <w:vAlign w:val="center"/>
            <w:hideMark/>
          </w:tcPr>
          <w:p w14:paraId="415F7ACC" w14:textId="77777777" w:rsidR="00DE1000" w:rsidRPr="00DE1000" w:rsidRDefault="00DE1000" w:rsidP="00DE1000">
            <w:r w:rsidRPr="00DE1000">
              <w:t>$248M</w:t>
            </w:r>
          </w:p>
        </w:tc>
        <w:tc>
          <w:tcPr>
            <w:tcW w:w="1665" w:type="dxa"/>
            <w:tcBorders>
              <w:top w:val="nil"/>
              <w:left w:val="nil"/>
              <w:bottom w:val="nil"/>
              <w:right w:val="nil"/>
            </w:tcBorders>
            <w:vAlign w:val="center"/>
            <w:hideMark/>
          </w:tcPr>
          <w:p w14:paraId="06F6C48C" w14:textId="77777777" w:rsidR="00DE1000" w:rsidRPr="00DE1000" w:rsidRDefault="00DE1000" w:rsidP="00DE1000">
            <w:r w:rsidRPr="00DE1000">
              <w:t>$550K</w:t>
            </w:r>
          </w:p>
        </w:tc>
      </w:tr>
      <w:tr w:rsidR="00DE1000" w:rsidRPr="00DE1000" w14:paraId="6513750B" w14:textId="77777777" w:rsidTr="00DE1000">
        <w:trPr>
          <w:tblCellSpacing w:w="15" w:type="dxa"/>
        </w:trPr>
        <w:tc>
          <w:tcPr>
            <w:tcW w:w="1350" w:type="dxa"/>
            <w:tcBorders>
              <w:top w:val="nil"/>
              <w:left w:val="nil"/>
              <w:bottom w:val="nil"/>
              <w:right w:val="nil"/>
            </w:tcBorders>
            <w:vAlign w:val="center"/>
            <w:hideMark/>
          </w:tcPr>
          <w:p w14:paraId="574D7E0B" w14:textId="77777777" w:rsidR="00DE1000" w:rsidRPr="00DE1000" w:rsidRDefault="00DE1000" w:rsidP="00DE1000">
            <w:r w:rsidRPr="00DE1000">
              <w:lastRenderedPageBreak/>
              <w:t>North County</w:t>
            </w:r>
          </w:p>
        </w:tc>
        <w:tc>
          <w:tcPr>
            <w:tcW w:w="1260" w:type="dxa"/>
            <w:tcBorders>
              <w:top w:val="nil"/>
              <w:left w:val="nil"/>
              <w:bottom w:val="nil"/>
              <w:right w:val="nil"/>
            </w:tcBorders>
            <w:vAlign w:val="center"/>
            <w:hideMark/>
          </w:tcPr>
          <w:p w14:paraId="52E95B30" w14:textId="77777777" w:rsidR="00DE1000" w:rsidRPr="00DE1000" w:rsidRDefault="00DE1000" w:rsidP="00DE1000">
            <w:r w:rsidRPr="00DE1000">
              <w:t>$2,376</w:t>
            </w:r>
          </w:p>
        </w:tc>
        <w:tc>
          <w:tcPr>
            <w:tcW w:w="1080" w:type="dxa"/>
            <w:tcBorders>
              <w:top w:val="nil"/>
              <w:left w:val="nil"/>
              <w:bottom w:val="nil"/>
              <w:right w:val="nil"/>
            </w:tcBorders>
            <w:vAlign w:val="center"/>
            <w:hideMark/>
          </w:tcPr>
          <w:p w14:paraId="5D5C2F8E" w14:textId="77777777" w:rsidR="00DE1000" w:rsidRPr="00DE1000" w:rsidRDefault="00DE1000" w:rsidP="00DE1000">
            <w:r w:rsidRPr="00DE1000">
              <w:t>1.9%</w:t>
            </w:r>
          </w:p>
        </w:tc>
        <w:tc>
          <w:tcPr>
            <w:tcW w:w="1080" w:type="dxa"/>
            <w:tcBorders>
              <w:top w:val="nil"/>
              <w:left w:val="nil"/>
              <w:bottom w:val="nil"/>
              <w:right w:val="nil"/>
            </w:tcBorders>
            <w:vAlign w:val="center"/>
            <w:hideMark/>
          </w:tcPr>
          <w:p w14:paraId="349942BD" w14:textId="77777777" w:rsidR="00DE1000" w:rsidRPr="00DE1000" w:rsidRDefault="00DE1000" w:rsidP="00DE1000">
            <w:r w:rsidRPr="00DE1000">
              <w:t>4.2%</w:t>
            </w:r>
          </w:p>
        </w:tc>
        <w:tc>
          <w:tcPr>
            <w:tcW w:w="1350" w:type="dxa"/>
            <w:tcBorders>
              <w:top w:val="nil"/>
              <w:left w:val="nil"/>
              <w:bottom w:val="nil"/>
              <w:right w:val="nil"/>
            </w:tcBorders>
            <w:vAlign w:val="center"/>
            <w:hideMark/>
          </w:tcPr>
          <w:p w14:paraId="76A21291" w14:textId="77777777" w:rsidR="00DE1000" w:rsidRPr="00DE1000" w:rsidRDefault="00DE1000" w:rsidP="00DE1000">
            <w:r w:rsidRPr="00DE1000">
              <w:t>257</w:t>
            </w:r>
          </w:p>
        </w:tc>
        <w:tc>
          <w:tcPr>
            <w:tcW w:w="1710" w:type="dxa"/>
            <w:tcBorders>
              <w:top w:val="nil"/>
              <w:left w:val="nil"/>
              <w:bottom w:val="nil"/>
              <w:right w:val="nil"/>
            </w:tcBorders>
            <w:vAlign w:val="center"/>
            <w:hideMark/>
          </w:tcPr>
          <w:p w14:paraId="42AF3093" w14:textId="77777777" w:rsidR="00DE1000" w:rsidRPr="00DE1000" w:rsidRDefault="00DE1000" w:rsidP="00DE1000">
            <w:r w:rsidRPr="00DE1000">
              <w:t>380</w:t>
            </w:r>
          </w:p>
        </w:tc>
        <w:tc>
          <w:tcPr>
            <w:tcW w:w="2160" w:type="dxa"/>
            <w:tcBorders>
              <w:top w:val="nil"/>
              <w:left w:val="nil"/>
              <w:bottom w:val="nil"/>
              <w:right w:val="nil"/>
            </w:tcBorders>
            <w:vAlign w:val="center"/>
            <w:hideMark/>
          </w:tcPr>
          <w:p w14:paraId="55E74075" w14:textId="77777777" w:rsidR="00DE1000" w:rsidRPr="00DE1000" w:rsidRDefault="00DE1000" w:rsidP="00DE1000">
            <w:r w:rsidRPr="00DE1000">
              <w:t>$132M</w:t>
            </w:r>
          </w:p>
        </w:tc>
        <w:tc>
          <w:tcPr>
            <w:tcW w:w="1665" w:type="dxa"/>
            <w:tcBorders>
              <w:top w:val="nil"/>
              <w:left w:val="nil"/>
              <w:bottom w:val="nil"/>
              <w:right w:val="nil"/>
            </w:tcBorders>
            <w:vAlign w:val="center"/>
            <w:hideMark/>
          </w:tcPr>
          <w:p w14:paraId="23A0A62B" w14:textId="77777777" w:rsidR="00DE1000" w:rsidRPr="00DE1000" w:rsidRDefault="00DE1000" w:rsidP="00DE1000">
            <w:r w:rsidRPr="00DE1000">
              <w:t>$385K</w:t>
            </w:r>
          </w:p>
        </w:tc>
      </w:tr>
      <w:tr w:rsidR="00DE1000" w:rsidRPr="00DE1000" w14:paraId="0F1A243F" w14:textId="77777777" w:rsidTr="00DE1000">
        <w:trPr>
          <w:tblCellSpacing w:w="15" w:type="dxa"/>
        </w:trPr>
        <w:tc>
          <w:tcPr>
            <w:tcW w:w="1350" w:type="dxa"/>
            <w:tcBorders>
              <w:top w:val="nil"/>
              <w:left w:val="nil"/>
              <w:bottom w:val="nil"/>
              <w:right w:val="nil"/>
            </w:tcBorders>
            <w:vAlign w:val="center"/>
            <w:hideMark/>
          </w:tcPr>
          <w:p w14:paraId="367E1464" w14:textId="77777777" w:rsidR="00DE1000" w:rsidRPr="00DE1000" w:rsidRDefault="00DE1000" w:rsidP="00DE1000">
            <w:r w:rsidRPr="00DE1000">
              <w:t>South County</w:t>
            </w:r>
          </w:p>
        </w:tc>
        <w:tc>
          <w:tcPr>
            <w:tcW w:w="1260" w:type="dxa"/>
            <w:tcBorders>
              <w:top w:val="nil"/>
              <w:left w:val="nil"/>
              <w:bottom w:val="nil"/>
              <w:right w:val="nil"/>
            </w:tcBorders>
            <w:vAlign w:val="center"/>
            <w:hideMark/>
          </w:tcPr>
          <w:p w14:paraId="1DE121AA" w14:textId="77777777" w:rsidR="00DE1000" w:rsidRPr="00DE1000" w:rsidRDefault="00DE1000" w:rsidP="00DE1000">
            <w:r w:rsidRPr="00DE1000">
              <w:t>$2,933</w:t>
            </w:r>
          </w:p>
        </w:tc>
        <w:tc>
          <w:tcPr>
            <w:tcW w:w="1080" w:type="dxa"/>
            <w:tcBorders>
              <w:top w:val="nil"/>
              <w:left w:val="nil"/>
              <w:bottom w:val="nil"/>
              <w:right w:val="nil"/>
            </w:tcBorders>
            <w:vAlign w:val="center"/>
            <w:hideMark/>
          </w:tcPr>
          <w:p w14:paraId="60D5285C" w14:textId="77777777" w:rsidR="00DE1000" w:rsidRPr="00DE1000" w:rsidRDefault="00DE1000" w:rsidP="00DE1000">
            <w:r w:rsidRPr="00DE1000">
              <w:t>1.0%</w:t>
            </w:r>
          </w:p>
        </w:tc>
        <w:tc>
          <w:tcPr>
            <w:tcW w:w="1080" w:type="dxa"/>
            <w:tcBorders>
              <w:top w:val="nil"/>
              <w:left w:val="nil"/>
              <w:bottom w:val="nil"/>
              <w:right w:val="nil"/>
            </w:tcBorders>
            <w:vAlign w:val="center"/>
            <w:hideMark/>
          </w:tcPr>
          <w:p w14:paraId="6C7A34B3" w14:textId="77777777" w:rsidR="00DE1000" w:rsidRPr="00DE1000" w:rsidRDefault="00DE1000" w:rsidP="00DE1000">
            <w:r w:rsidRPr="00DE1000">
              <w:t>5.4%</w:t>
            </w:r>
          </w:p>
        </w:tc>
        <w:tc>
          <w:tcPr>
            <w:tcW w:w="1350" w:type="dxa"/>
            <w:tcBorders>
              <w:top w:val="nil"/>
              <w:left w:val="nil"/>
              <w:bottom w:val="nil"/>
              <w:right w:val="nil"/>
            </w:tcBorders>
            <w:vAlign w:val="center"/>
            <w:hideMark/>
          </w:tcPr>
          <w:p w14:paraId="2744AAB8" w14:textId="77777777" w:rsidR="00DE1000" w:rsidRPr="00DE1000" w:rsidRDefault="00DE1000" w:rsidP="00DE1000">
            <w:r w:rsidRPr="00DE1000">
              <w:t>170</w:t>
            </w:r>
          </w:p>
        </w:tc>
        <w:tc>
          <w:tcPr>
            <w:tcW w:w="1710" w:type="dxa"/>
            <w:tcBorders>
              <w:top w:val="nil"/>
              <w:left w:val="nil"/>
              <w:bottom w:val="nil"/>
              <w:right w:val="nil"/>
            </w:tcBorders>
            <w:vAlign w:val="center"/>
            <w:hideMark/>
          </w:tcPr>
          <w:p w14:paraId="105619B5" w14:textId="77777777" w:rsidR="00DE1000" w:rsidRPr="00DE1000" w:rsidRDefault="00DE1000" w:rsidP="00DE1000">
            <w:r w:rsidRPr="00DE1000">
              <w:t>18</w:t>
            </w:r>
          </w:p>
        </w:tc>
        <w:tc>
          <w:tcPr>
            <w:tcW w:w="2160" w:type="dxa"/>
            <w:tcBorders>
              <w:top w:val="nil"/>
              <w:left w:val="nil"/>
              <w:bottom w:val="nil"/>
              <w:right w:val="nil"/>
            </w:tcBorders>
            <w:vAlign w:val="center"/>
            <w:hideMark/>
          </w:tcPr>
          <w:p w14:paraId="5224E575" w14:textId="77777777" w:rsidR="00DE1000" w:rsidRPr="00DE1000" w:rsidRDefault="00DE1000" w:rsidP="00DE1000">
            <w:r w:rsidRPr="00DE1000">
              <w:t>$54.4M</w:t>
            </w:r>
          </w:p>
        </w:tc>
        <w:tc>
          <w:tcPr>
            <w:tcW w:w="1665" w:type="dxa"/>
            <w:tcBorders>
              <w:top w:val="nil"/>
              <w:left w:val="nil"/>
              <w:bottom w:val="nil"/>
              <w:right w:val="nil"/>
            </w:tcBorders>
            <w:vAlign w:val="center"/>
            <w:hideMark/>
          </w:tcPr>
          <w:p w14:paraId="6C8395E3" w14:textId="77777777" w:rsidR="00DE1000" w:rsidRPr="00DE1000" w:rsidRDefault="00DE1000" w:rsidP="00DE1000">
            <w:r w:rsidRPr="00DE1000">
              <w:t>$475K</w:t>
            </w:r>
          </w:p>
        </w:tc>
      </w:tr>
      <w:tr w:rsidR="00DE1000" w:rsidRPr="00DE1000" w14:paraId="52B29472" w14:textId="77777777" w:rsidTr="00DE1000">
        <w:trPr>
          <w:tblCellSpacing w:w="15" w:type="dxa"/>
        </w:trPr>
        <w:tc>
          <w:tcPr>
            <w:tcW w:w="1350" w:type="dxa"/>
            <w:tcBorders>
              <w:top w:val="nil"/>
              <w:left w:val="nil"/>
              <w:bottom w:val="nil"/>
              <w:right w:val="nil"/>
            </w:tcBorders>
            <w:vAlign w:val="center"/>
            <w:hideMark/>
          </w:tcPr>
          <w:p w14:paraId="78ED453F" w14:textId="77777777" w:rsidR="00DE1000" w:rsidRPr="00DE1000" w:rsidRDefault="00DE1000" w:rsidP="00DE1000">
            <w:r w:rsidRPr="00DE1000">
              <w:t>Newport Beach</w:t>
            </w:r>
          </w:p>
        </w:tc>
        <w:tc>
          <w:tcPr>
            <w:tcW w:w="1260" w:type="dxa"/>
            <w:tcBorders>
              <w:top w:val="nil"/>
              <w:left w:val="nil"/>
              <w:bottom w:val="nil"/>
              <w:right w:val="nil"/>
            </w:tcBorders>
            <w:vAlign w:val="center"/>
            <w:hideMark/>
          </w:tcPr>
          <w:p w14:paraId="41868337" w14:textId="77777777" w:rsidR="00DE1000" w:rsidRPr="00DE1000" w:rsidRDefault="00DE1000" w:rsidP="00DE1000">
            <w:r w:rsidRPr="00DE1000">
              <w:t>$3,593</w:t>
            </w:r>
          </w:p>
        </w:tc>
        <w:tc>
          <w:tcPr>
            <w:tcW w:w="1080" w:type="dxa"/>
            <w:tcBorders>
              <w:top w:val="nil"/>
              <w:left w:val="nil"/>
              <w:bottom w:val="nil"/>
              <w:right w:val="nil"/>
            </w:tcBorders>
            <w:vAlign w:val="center"/>
            <w:hideMark/>
          </w:tcPr>
          <w:p w14:paraId="60649C3C" w14:textId="77777777" w:rsidR="00DE1000" w:rsidRPr="00DE1000" w:rsidRDefault="00DE1000" w:rsidP="00DE1000">
            <w:r w:rsidRPr="00DE1000">
              <w:t>-0.7%</w:t>
            </w:r>
          </w:p>
        </w:tc>
        <w:tc>
          <w:tcPr>
            <w:tcW w:w="1080" w:type="dxa"/>
            <w:tcBorders>
              <w:top w:val="nil"/>
              <w:left w:val="nil"/>
              <w:bottom w:val="nil"/>
              <w:right w:val="nil"/>
            </w:tcBorders>
            <w:vAlign w:val="center"/>
            <w:hideMark/>
          </w:tcPr>
          <w:p w14:paraId="0ECAA009" w14:textId="77777777" w:rsidR="00DE1000" w:rsidRPr="00DE1000" w:rsidRDefault="00DE1000" w:rsidP="00DE1000">
            <w:r w:rsidRPr="00DE1000">
              <w:t>2.4%</w:t>
            </w:r>
          </w:p>
        </w:tc>
        <w:tc>
          <w:tcPr>
            <w:tcW w:w="1350" w:type="dxa"/>
            <w:tcBorders>
              <w:top w:val="nil"/>
              <w:left w:val="nil"/>
              <w:bottom w:val="nil"/>
              <w:right w:val="nil"/>
            </w:tcBorders>
            <w:vAlign w:val="center"/>
            <w:hideMark/>
          </w:tcPr>
          <w:p w14:paraId="0E6A44E0" w14:textId="77777777" w:rsidR="00DE1000" w:rsidRPr="00DE1000" w:rsidRDefault="00DE1000" w:rsidP="00DE1000">
            <w:r w:rsidRPr="00DE1000">
              <w:t>53</w:t>
            </w:r>
          </w:p>
        </w:tc>
        <w:tc>
          <w:tcPr>
            <w:tcW w:w="1710" w:type="dxa"/>
            <w:tcBorders>
              <w:top w:val="nil"/>
              <w:left w:val="nil"/>
              <w:bottom w:val="nil"/>
              <w:right w:val="nil"/>
            </w:tcBorders>
            <w:vAlign w:val="center"/>
            <w:hideMark/>
          </w:tcPr>
          <w:p w14:paraId="1DE1036B" w14:textId="77777777" w:rsidR="00DE1000" w:rsidRPr="00DE1000" w:rsidRDefault="00DE1000" w:rsidP="00DE1000">
            <w:r w:rsidRPr="00DE1000">
              <w:t>0</w:t>
            </w:r>
          </w:p>
        </w:tc>
        <w:tc>
          <w:tcPr>
            <w:tcW w:w="2160" w:type="dxa"/>
            <w:tcBorders>
              <w:top w:val="nil"/>
              <w:left w:val="nil"/>
              <w:bottom w:val="nil"/>
              <w:right w:val="nil"/>
            </w:tcBorders>
            <w:vAlign w:val="center"/>
            <w:hideMark/>
          </w:tcPr>
          <w:p w14:paraId="5C4CE2A1" w14:textId="77777777" w:rsidR="00DE1000" w:rsidRPr="00DE1000" w:rsidRDefault="00DE1000" w:rsidP="00DE1000">
            <w:r w:rsidRPr="00DE1000">
              <w:t>$12.2M</w:t>
            </w:r>
          </w:p>
        </w:tc>
        <w:tc>
          <w:tcPr>
            <w:tcW w:w="1665" w:type="dxa"/>
            <w:tcBorders>
              <w:top w:val="nil"/>
              <w:left w:val="nil"/>
              <w:bottom w:val="nil"/>
              <w:right w:val="nil"/>
            </w:tcBorders>
            <w:vAlign w:val="center"/>
            <w:hideMark/>
          </w:tcPr>
          <w:p w14:paraId="0C9F34A0" w14:textId="77777777" w:rsidR="00DE1000" w:rsidRPr="00DE1000" w:rsidRDefault="00DE1000" w:rsidP="00DE1000">
            <w:r w:rsidRPr="00DE1000">
              <w:t>$547K</w:t>
            </w:r>
          </w:p>
        </w:tc>
      </w:tr>
      <w:tr w:rsidR="00DE1000" w:rsidRPr="00DE1000" w14:paraId="2786F6AE" w14:textId="77777777" w:rsidTr="00DE1000">
        <w:trPr>
          <w:tblCellSpacing w:w="15" w:type="dxa"/>
        </w:trPr>
        <w:tc>
          <w:tcPr>
            <w:tcW w:w="1350" w:type="dxa"/>
            <w:tcBorders>
              <w:top w:val="nil"/>
              <w:left w:val="nil"/>
              <w:bottom w:val="nil"/>
              <w:right w:val="nil"/>
            </w:tcBorders>
            <w:vAlign w:val="center"/>
            <w:hideMark/>
          </w:tcPr>
          <w:p w14:paraId="27F5CDB4" w14:textId="77777777" w:rsidR="00DE1000" w:rsidRPr="00DE1000" w:rsidRDefault="00DE1000" w:rsidP="00DE1000">
            <w:r w:rsidRPr="00DE1000">
              <w:t>Tustin</w:t>
            </w:r>
          </w:p>
        </w:tc>
        <w:tc>
          <w:tcPr>
            <w:tcW w:w="1260" w:type="dxa"/>
            <w:tcBorders>
              <w:top w:val="nil"/>
              <w:left w:val="nil"/>
              <w:bottom w:val="nil"/>
              <w:right w:val="nil"/>
            </w:tcBorders>
            <w:vAlign w:val="center"/>
            <w:hideMark/>
          </w:tcPr>
          <w:p w14:paraId="1BE148A3" w14:textId="77777777" w:rsidR="00DE1000" w:rsidRPr="00DE1000" w:rsidRDefault="00DE1000" w:rsidP="00DE1000">
            <w:r w:rsidRPr="00DE1000">
              <w:t>$2,578</w:t>
            </w:r>
          </w:p>
        </w:tc>
        <w:tc>
          <w:tcPr>
            <w:tcW w:w="1080" w:type="dxa"/>
            <w:tcBorders>
              <w:top w:val="nil"/>
              <w:left w:val="nil"/>
              <w:bottom w:val="nil"/>
              <w:right w:val="nil"/>
            </w:tcBorders>
            <w:vAlign w:val="center"/>
            <w:hideMark/>
          </w:tcPr>
          <w:p w14:paraId="2CAC4B51" w14:textId="77777777" w:rsidR="00DE1000" w:rsidRPr="00DE1000" w:rsidRDefault="00DE1000" w:rsidP="00DE1000">
            <w:r w:rsidRPr="00DE1000">
              <w:t>0.2%</w:t>
            </w:r>
          </w:p>
        </w:tc>
        <w:tc>
          <w:tcPr>
            <w:tcW w:w="1080" w:type="dxa"/>
            <w:tcBorders>
              <w:top w:val="nil"/>
              <w:left w:val="nil"/>
              <w:bottom w:val="nil"/>
              <w:right w:val="nil"/>
            </w:tcBorders>
            <w:vAlign w:val="center"/>
            <w:hideMark/>
          </w:tcPr>
          <w:p w14:paraId="68D21B72" w14:textId="77777777" w:rsidR="00DE1000" w:rsidRPr="00DE1000" w:rsidRDefault="00DE1000" w:rsidP="00DE1000">
            <w:r w:rsidRPr="00DE1000">
              <w:t>3.3%</w:t>
            </w:r>
          </w:p>
        </w:tc>
        <w:tc>
          <w:tcPr>
            <w:tcW w:w="1350" w:type="dxa"/>
            <w:tcBorders>
              <w:top w:val="nil"/>
              <w:left w:val="nil"/>
              <w:bottom w:val="nil"/>
              <w:right w:val="nil"/>
            </w:tcBorders>
            <w:vAlign w:val="center"/>
            <w:hideMark/>
          </w:tcPr>
          <w:p w14:paraId="5F73C705" w14:textId="77777777" w:rsidR="00DE1000" w:rsidRPr="00DE1000" w:rsidRDefault="00DE1000" w:rsidP="00DE1000">
            <w:r w:rsidRPr="00DE1000">
              <w:t>(59)</w:t>
            </w:r>
          </w:p>
        </w:tc>
        <w:tc>
          <w:tcPr>
            <w:tcW w:w="1710" w:type="dxa"/>
            <w:tcBorders>
              <w:top w:val="nil"/>
              <w:left w:val="nil"/>
              <w:bottom w:val="nil"/>
              <w:right w:val="nil"/>
            </w:tcBorders>
            <w:vAlign w:val="center"/>
            <w:hideMark/>
          </w:tcPr>
          <w:p w14:paraId="77A6E627" w14:textId="77777777" w:rsidR="00DE1000" w:rsidRPr="00DE1000" w:rsidRDefault="00DE1000" w:rsidP="00DE1000">
            <w:r w:rsidRPr="00DE1000">
              <w:t>0</w:t>
            </w:r>
          </w:p>
        </w:tc>
        <w:tc>
          <w:tcPr>
            <w:tcW w:w="2160" w:type="dxa"/>
            <w:tcBorders>
              <w:top w:val="nil"/>
              <w:left w:val="nil"/>
              <w:bottom w:val="nil"/>
              <w:right w:val="nil"/>
            </w:tcBorders>
            <w:vAlign w:val="center"/>
            <w:hideMark/>
          </w:tcPr>
          <w:p w14:paraId="58D8501E" w14:textId="77777777" w:rsidR="00DE1000" w:rsidRPr="00DE1000" w:rsidRDefault="00DE1000" w:rsidP="00DE1000">
            <w:r w:rsidRPr="00DE1000">
              <w:t>$5.7M</w:t>
            </w:r>
          </w:p>
        </w:tc>
        <w:tc>
          <w:tcPr>
            <w:tcW w:w="1665" w:type="dxa"/>
            <w:tcBorders>
              <w:top w:val="nil"/>
              <w:left w:val="nil"/>
              <w:bottom w:val="nil"/>
              <w:right w:val="nil"/>
            </w:tcBorders>
            <w:vAlign w:val="center"/>
            <w:hideMark/>
          </w:tcPr>
          <w:p w14:paraId="7D8662BD" w14:textId="77777777" w:rsidR="00DE1000" w:rsidRPr="00DE1000" w:rsidRDefault="00DE1000" w:rsidP="00DE1000">
            <w:r w:rsidRPr="00DE1000">
              <w:t>$390K</w:t>
            </w:r>
          </w:p>
        </w:tc>
      </w:tr>
    </w:tbl>
    <w:p w14:paraId="7FB23B29" w14:textId="77777777" w:rsidR="00DE1000" w:rsidRPr="00DE1000" w:rsidRDefault="00DE1000" w:rsidP="00DE1000">
      <w:pPr>
        <w:rPr>
          <w:b/>
          <w:bCs/>
        </w:rPr>
      </w:pPr>
      <w:r w:rsidRPr="00DE1000">
        <w:rPr>
          <w:b/>
          <w:bCs/>
        </w:rPr>
        <w:t>Anaheim</w:t>
      </w:r>
    </w:p>
    <w:p w14:paraId="73949ECF" w14:textId="77777777" w:rsidR="00DE1000" w:rsidRPr="00DE1000" w:rsidRDefault="00DE1000" w:rsidP="00DE1000">
      <w:r w:rsidRPr="00DE1000">
        <w:t xml:space="preserve">Rent growth has decreased in recent years, falling from a record 10% annual gain in 2021 to 1.9% over the previous year. Higher lending rates have slowed sales activity, which is currently driven by smaller transactions. Over the previous year, </w:t>
      </w:r>
      <w:proofErr w:type="gramStart"/>
      <w:r w:rsidRPr="00DE1000">
        <w:t>vacancy has</w:t>
      </w:r>
      <w:proofErr w:type="gramEnd"/>
      <w:r w:rsidRPr="00DE1000">
        <w:t xml:space="preserve"> trended evenly among stabilized assets, excluding new buildings under lease-up, at slightly less than 3.5%. Anaheim is a working-class city with a large concentration of inexpensive housing. Many renters in the neighborhood work at Disneyland, the city’s main employer, or in other low-wage service, hospitality, or industrial sectors. As a result, the demand for Class B &amp; C apartments in the neighborhood remains high.</w:t>
      </w:r>
    </w:p>
    <w:p w14:paraId="279D6269" w14:textId="77777777" w:rsidR="00DE1000" w:rsidRPr="00DE1000" w:rsidRDefault="00DE1000" w:rsidP="00DE1000">
      <w:pPr>
        <w:rPr>
          <w:b/>
          <w:bCs/>
        </w:rPr>
      </w:pPr>
      <w:r w:rsidRPr="00DE1000">
        <w:rPr>
          <w:b/>
          <w:bCs/>
        </w:rPr>
        <w:t>Central OC East of I-5</w:t>
      </w:r>
    </w:p>
    <w:p w14:paraId="5BD52FAF" w14:textId="77777777" w:rsidR="00DE1000" w:rsidRPr="00DE1000" w:rsidRDefault="00DE1000" w:rsidP="00DE1000">
      <w:r w:rsidRPr="00DE1000">
        <w:t xml:space="preserve">While </w:t>
      </w:r>
      <w:proofErr w:type="gramStart"/>
      <w:r w:rsidRPr="00DE1000">
        <w:t>vacancy</w:t>
      </w:r>
      <w:proofErr w:type="gramEnd"/>
      <w:r w:rsidRPr="00DE1000">
        <w:t xml:space="preserve"> in the Submarket has historically trended higher than the Orange County apartment market average over the last decade, it has maintained positive absorption in recent years, resulting in vacancy falling below the market average in the third quarter of 2024. The area’s apartment rents continue to rise gradually due to strong demand. Rent growth during the previous year was 2.6%, compared to the 0.7% market average. Rent increase in Orange County apartment submarkets has consistently exceeded the national average, owing to a halt in housing development.</w:t>
      </w:r>
    </w:p>
    <w:p w14:paraId="1C9328BD" w14:textId="77777777" w:rsidR="00DE1000" w:rsidRPr="00DE1000" w:rsidRDefault="00DE1000" w:rsidP="00DE1000">
      <w:pPr>
        <w:rPr>
          <w:b/>
          <w:bCs/>
        </w:rPr>
      </w:pPr>
      <w:r w:rsidRPr="00DE1000">
        <w:rPr>
          <w:b/>
          <w:bCs/>
        </w:rPr>
        <w:t>Central OC West I-5</w:t>
      </w:r>
    </w:p>
    <w:p w14:paraId="548E9E2B" w14:textId="77777777" w:rsidR="00DE1000" w:rsidRPr="00DE1000" w:rsidRDefault="00DE1000" w:rsidP="00DE1000">
      <w:r w:rsidRPr="00DE1000">
        <w:t>A flood of deliveries in 2023, following an outflow of tenants in 2022, increased the submarket’s total vacancy rate to a high of 5.4% in mid-2023. Since then, as new properties have leased up, the vacancy rate has trended lower and now stands at 3.6% as of Q1 2025. Complexes recently completed in 2023 and 2024 have increased competition for high-quality apartment renters while reducing the under-construction pipeline to 330 units. In recent years, median income levels have risen faster than market rents, resulting in increased affordability and a return to positive net absorption in the last four quarters.</w:t>
      </w:r>
    </w:p>
    <w:p w14:paraId="7E56CAB5" w14:textId="77777777" w:rsidR="00DE1000" w:rsidRPr="00DE1000" w:rsidRDefault="00DE1000" w:rsidP="00DE1000">
      <w:pPr>
        <w:rPr>
          <w:b/>
          <w:bCs/>
        </w:rPr>
      </w:pPr>
      <w:r w:rsidRPr="00DE1000">
        <w:rPr>
          <w:b/>
          <w:bCs/>
        </w:rPr>
        <w:lastRenderedPageBreak/>
        <w:t>Costa Mesa</w:t>
      </w:r>
    </w:p>
    <w:p w14:paraId="62AB81F4" w14:textId="77777777" w:rsidR="00DE1000" w:rsidRPr="00DE1000" w:rsidRDefault="00DE1000" w:rsidP="00DE1000">
      <w:r w:rsidRPr="00DE1000">
        <w:t xml:space="preserve">Rent levels dropped from the middle of 2022 to the first quarter of 2023 but are presently rising again as demand grows heading into 2025. As of the first quarter of 2025, </w:t>
      </w:r>
      <w:proofErr w:type="gramStart"/>
      <w:r w:rsidRPr="00DE1000">
        <w:t>trailing</w:t>
      </w:r>
      <w:proofErr w:type="gramEnd"/>
      <w:r w:rsidRPr="00DE1000">
        <w:t>-year rent increase was moderate at 2.0%, but it has recently decelerated. Costa Mesa’s apartment absorption rate remained positive. Vacancy increased in the second quarter of 2024 due to the delivery of a new 200-unit complex, but it is expected to fall further in future quarters as the complex’s occupancy stabilizes.</w:t>
      </w:r>
    </w:p>
    <w:p w14:paraId="68A565C0" w14:textId="77777777" w:rsidR="00DE1000" w:rsidRPr="00DE1000" w:rsidRDefault="00DE1000" w:rsidP="00DE1000">
      <w:pPr>
        <w:rPr>
          <w:b/>
          <w:bCs/>
        </w:rPr>
      </w:pPr>
      <w:r w:rsidRPr="00DE1000">
        <w:rPr>
          <w:b/>
          <w:bCs/>
        </w:rPr>
        <w:t>Huntington Beach/Seal Beach</w:t>
      </w:r>
    </w:p>
    <w:p w14:paraId="2C3D571C" w14:textId="77777777" w:rsidR="00DE1000" w:rsidRPr="00DE1000" w:rsidRDefault="00DE1000" w:rsidP="00DE1000">
      <w:r w:rsidRPr="00DE1000">
        <w:t xml:space="preserve">Despite their old age and wear, beachfront apartments fetch high rental rates and frequently sell at low cap prices. Overall, rents in the submarket are slightly higher than the market average. Huntington Beach/Seal Beach is a preferred region for apartment tenants due to its miles of coastline, numerous entertainment events, and restaurants, all of which are a convenient commute from Irvine or downtown Orange County. As a result, </w:t>
      </w:r>
      <w:proofErr w:type="gramStart"/>
      <w:r w:rsidRPr="00DE1000">
        <w:t>vacancy</w:t>
      </w:r>
      <w:proofErr w:type="gramEnd"/>
      <w:r w:rsidRPr="00DE1000">
        <w:t xml:space="preserve"> in the submarket has remained below the market average since 2019, currently standing at 3.3%.</w:t>
      </w:r>
    </w:p>
    <w:p w14:paraId="48439747" w14:textId="77777777" w:rsidR="00DE1000" w:rsidRPr="00DE1000" w:rsidRDefault="00DE1000" w:rsidP="00DE1000">
      <w:pPr>
        <w:rPr>
          <w:b/>
          <w:bCs/>
        </w:rPr>
      </w:pPr>
      <w:r w:rsidRPr="00DE1000">
        <w:rPr>
          <w:b/>
          <w:bCs/>
        </w:rPr>
        <w:t>Irvine</w:t>
      </w:r>
    </w:p>
    <w:p w14:paraId="640F4AEB" w14:textId="77777777" w:rsidR="00DE1000" w:rsidRPr="00DE1000" w:rsidRDefault="00DE1000" w:rsidP="00DE1000">
      <w:r w:rsidRPr="00DE1000">
        <w:t>Irvine is by far the most active place for apartment development in Orange County, thanks to remaining available land sites and redevelopment projects. Over the last five years, approximately 1,100 units have been delivered, increasing the area’s apartment supply by 7.7% to 43,000. Strong demand has aided ongoing construction. Vacancy rose in the third quarter due to supply additions but remains at a compressed 4.2% as of the first quarter of 2025. Absorption is projected to remain positive due to persistent job and apartment inventory growth.</w:t>
      </w:r>
    </w:p>
    <w:p w14:paraId="39BA0831" w14:textId="77777777" w:rsidR="00DE1000" w:rsidRPr="00DE1000" w:rsidRDefault="00DE1000" w:rsidP="00DE1000">
      <w:pPr>
        <w:rPr>
          <w:b/>
          <w:bCs/>
        </w:rPr>
      </w:pPr>
      <w:r w:rsidRPr="00DE1000">
        <w:rPr>
          <w:b/>
          <w:bCs/>
        </w:rPr>
        <w:t>North County</w:t>
      </w:r>
    </w:p>
    <w:p w14:paraId="30D90C14" w14:textId="77777777" w:rsidR="00DE1000" w:rsidRPr="00DE1000" w:rsidRDefault="00DE1000" w:rsidP="00DE1000">
      <w:r w:rsidRPr="00DE1000">
        <w:t>The North County Submarket includes the cities of Los Alamitos, Cypress, Buena Park, Fullerton, La Habra, and Brea, and its apartments are primarily rented by blue-collar workers. Lower-grade Class C buildings account for more than half of the area’s apartment stock, while Class A inventory is limited to 12% or approximately 4,500 units. As of the first quarter of 2025, vacancy rates were 4.2%, which is close to the market average of 4.1%. Vacancy is expected to drop in the coming quarters as renters move into the new supply. No additional inventory increases will be made until mid-2025.</w:t>
      </w:r>
    </w:p>
    <w:p w14:paraId="11B131A9" w14:textId="77777777" w:rsidR="00DE1000" w:rsidRPr="00DE1000" w:rsidRDefault="00DE1000" w:rsidP="00DE1000">
      <w:pPr>
        <w:rPr>
          <w:b/>
          <w:bCs/>
        </w:rPr>
      </w:pPr>
      <w:r w:rsidRPr="00DE1000">
        <w:rPr>
          <w:b/>
          <w:bCs/>
        </w:rPr>
        <w:t>South County</w:t>
      </w:r>
    </w:p>
    <w:p w14:paraId="55CAE46E" w14:textId="77777777" w:rsidR="00DE1000" w:rsidRPr="00DE1000" w:rsidRDefault="00DE1000" w:rsidP="00DE1000">
      <w:r w:rsidRPr="00DE1000">
        <w:t xml:space="preserve">South County’s apartment </w:t>
      </w:r>
      <w:proofErr w:type="gramStart"/>
      <w:r w:rsidRPr="00DE1000">
        <w:t>vacancy rate is</w:t>
      </w:r>
      <w:proofErr w:type="gramEnd"/>
      <w:r w:rsidRPr="00DE1000">
        <w:t xml:space="preserve"> 5.3% as of the first quarter of 2025, a slight decrease from its historical average of 5.4%. Absorption was negative in the first two </w:t>
      </w:r>
      <w:r w:rsidRPr="00DE1000">
        <w:lastRenderedPageBreak/>
        <w:t>quarters of 2024, and a recent delivery increased vacancy—although absorption is reducing vacancy heading into 2025. Overall, little supply has been built in the area since the pandemic began. Construction is more common in central Orange County, where there is more developable land and redevelopment opportunities. As builders go east into the Saddleback foothills and ranch acreage, single-family houses are becoming increasingly prevalent in South County housing.</w:t>
      </w:r>
    </w:p>
    <w:p w14:paraId="63AA271A" w14:textId="77777777" w:rsidR="00DE1000" w:rsidRPr="00DE1000" w:rsidRDefault="00DE1000" w:rsidP="00DE1000">
      <w:pPr>
        <w:rPr>
          <w:b/>
          <w:bCs/>
        </w:rPr>
      </w:pPr>
      <w:r w:rsidRPr="00DE1000">
        <w:rPr>
          <w:b/>
          <w:bCs/>
        </w:rPr>
        <w:t>Newport Beach</w:t>
      </w:r>
    </w:p>
    <w:p w14:paraId="11AAF3CE" w14:textId="77777777" w:rsidR="00DE1000" w:rsidRPr="00DE1000" w:rsidRDefault="00DE1000" w:rsidP="00DE1000">
      <w:r w:rsidRPr="00DE1000">
        <w:t xml:space="preserve">Newport Beach is a prosperous community, with over 40% of its 9,300-unit housing supply housed in high-quality Class A buildings. The area’s average market rents are 7% higher than those in Irvine, reflecting the excellent position near the ocean. Absorption was negative from 2022 to 2023 but has since turned positive. As a result, </w:t>
      </w:r>
      <w:proofErr w:type="gramStart"/>
      <w:r w:rsidRPr="00DE1000">
        <w:t>vacancy is</w:t>
      </w:r>
      <w:proofErr w:type="gramEnd"/>
      <w:r w:rsidRPr="00DE1000">
        <w:t xml:space="preserve"> decreasing and stands at a compacted 2.4% in the first quarter of 2025. Despite improving market conditions, market rents fell by 0.3% over the previous year.</w:t>
      </w:r>
    </w:p>
    <w:p w14:paraId="6657D3C4" w14:textId="77777777" w:rsidR="00DE1000" w:rsidRPr="00DE1000" w:rsidRDefault="00DE1000" w:rsidP="00DE1000">
      <w:pPr>
        <w:rPr>
          <w:b/>
          <w:bCs/>
        </w:rPr>
      </w:pPr>
      <w:r w:rsidRPr="00DE1000">
        <w:rPr>
          <w:b/>
          <w:bCs/>
        </w:rPr>
        <w:t>Tustin</w:t>
      </w:r>
    </w:p>
    <w:p w14:paraId="5263ED4E" w14:textId="77777777" w:rsidR="00DE1000" w:rsidRPr="00DE1000" w:rsidRDefault="00DE1000" w:rsidP="00DE1000">
      <w:r w:rsidRPr="00DE1000">
        <w:t xml:space="preserve">Tustin is a favored region for apartment renters due to its affordability, outstanding schools, safety, and </w:t>
      </w:r>
      <w:proofErr w:type="gramStart"/>
      <w:r w:rsidRPr="00DE1000">
        <w:t>close proximity</w:t>
      </w:r>
      <w:proofErr w:type="gramEnd"/>
      <w:r w:rsidRPr="00DE1000">
        <w:t xml:space="preserve"> to Irvine offices. Tustin’s vacancy rate has consistently been lower than the market average, and it continues to remain so. Nonetheless, absorption has measured at -48 units over the previous year. Vacancy is increasing owing to occupancy </w:t>
      </w:r>
      <w:proofErr w:type="gramStart"/>
      <w:r w:rsidRPr="00DE1000">
        <w:t>loss,</w:t>
      </w:r>
      <w:proofErr w:type="gramEnd"/>
      <w:r w:rsidRPr="00DE1000">
        <w:t xml:space="preserve"> however, it remains at a compacted 3.3% as of the first quarter of 2025. Tustin comprises approximately 9,900 apartment units. Mid-quality Class B structures account for over 55% of inventory, with Class C buildings accounting for approximately 34%.</w:t>
      </w:r>
    </w:p>
    <w:p w14:paraId="3CC5AD46" w14:textId="77777777" w:rsidR="00BB74F3" w:rsidRDefault="00BB74F3"/>
    <w:sectPr w:rsidR="00BB7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56CAB"/>
    <w:multiLevelType w:val="multilevel"/>
    <w:tmpl w:val="522E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50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00"/>
    <w:rsid w:val="00116707"/>
    <w:rsid w:val="0054495F"/>
    <w:rsid w:val="00BB74F3"/>
    <w:rsid w:val="00DE1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517C"/>
  <w15:chartTrackingRefBased/>
  <w15:docId w15:val="{9597B5D4-2593-4E36-B32C-269385DF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000"/>
    <w:rPr>
      <w:rFonts w:eastAsiaTheme="majorEastAsia" w:cstheme="majorBidi"/>
      <w:color w:val="272727" w:themeColor="text1" w:themeTint="D8"/>
    </w:rPr>
  </w:style>
  <w:style w:type="paragraph" w:styleId="Title">
    <w:name w:val="Title"/>
    <w:basedOn w:val="Normal"/>
    <w:next w:val="Normal"/>
    <w:link w:val="TitleChar"/>
    <w:uiPriority w:val="10"/>
    <w:qFormat/>
    <w:rsid w:val="00DE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00"/>
    <w:pPr>
      <w:spacing w:before="160"/>
      <w:jc w:val="center"/>
    </w:pPr>
    <w:rPr>
      <w:i/>
      <w:iCs/>
      <w:color w:val="404040" w:themeColor="text1" w:themeTint="BF"/>
    </w:rPr>
  </w:style>
  <w:style w:type="character" w:customStyle="1" w:styleId="QuoteChar">
    <w:name w:val="Quote Char"/>
    <w:basedOn w:val="DefaultParagraphFont"/>
    <w:link w:val="Quote"/>
    <w:uiPriority w:val="29"/>
    <w:rsid w:val="00DE1000"/>
    <w:rPr>
      <w:i/>
      <w:iCs/>
      <w:color w:val="404040" w:themeColor="text1" w:themeTint="BF"/>
    </w:rPr>
  </w:style>
  <w:style w:type="paragraph" w:styleId="ListParagraph">
    <w:name w:val="List Paragraph"/>
    <w:basedOn w:val="Normal"/>
    <w:uiPriority w:val="34"/>
    <w:qFormat/>
    <w:rsid w:val="00DE1000"/>
    <w:pPr>
      <w:ind w:left="720"/>
      <w:contextualSpacing/>
    </w:pPr>
  </w:style>
  <w:style w:type="character" w:styleId="IntenseEmphasis">
    <w:name w:val="Intense Emphasis"/>
    <w:basedOn w:val="DefaultParagraphFont"/>
    <w:uiPriority w:val="21"/>
    <w:qFormat/>
    <w:rsid w:val="00DE1000"/>
    <w:rPr>
      <w:i/>
      <w:iCs/>
      <w:color w:val="0F4761" w:themeColor="accent1" w:themeShade="BF"/>
    </w:rPr>
  </w:style>
  <w:style w:type="paragraph" w:styleId="IntenseQuote">
    <w:name w:val="Intense Quote"/>
    <w:basedOn w:val="Normal"/>
    <w:next w:val="Normal"/>
    <w:link w:val="IntenseQuoteChar"/>
    <w:uiPriority w:val="30"/>
    <w:qFormat/>
    <w:rsid w:val="00DE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000"/>
    <w:rPr>
      <w:i/>
      <w:iCs/>
      <w:color w:val="0F4761" w:themeColor="accent1" w:themeShade="BF"/>
    </w:rPr>
  </w:style>
  <w:style w:type="character" w:styleId="IntenseReference">
    <w:name w:val="Intense Reference"/>
    <w:basedOn w:val="DefaultParagraphFont"/>
    <w:uiPriority w:val="32"/>
    <w:qFormat/>
    <w:rsid w:val="00DE1000"/>
    <w:rPr>
      <w:b/>
      <w:bCs/>
      <w:smallCaps/>
      <w:color w:val="0F4761" w:themeColor="accent1" w:themeShade="BF"/>
      <w:spacing w:val="5"/>
    </w:rPr>
  </w:style>
  <w:style w:type="character" w:styleId="Hyperlink">
    <w:name w:val="Hyperlink"/>
    <w:basedOn w:val="DefaultParagraphFont"/>
    <w:uiPriority w:val="99"/>
    <w:unhideWhenUsed/>
    <w:rsid w:val="00DE1000"/>
    <w:rPr>
      <w:color w:val="467886" w:themeColor="hyperlink"/>
      <w:u w:val="single"/>
    </w:rPr>
  </w:style>
  <w:style w:type="character" w:styleId="UnresolvedMention">
    <w:name w:val="Unresolved Mention"/>
    <w:basedOn w:val="DefaultParagraphFont"/>
    <w:uiPriority w:val="99"/>
    <w:semiHidden/>
    <w:unhideWhenUsed/>
    <w:rsid w:val="00DE1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175279">
      <w:bodyDiv w:val="1"/>
      <w:marLeft w:val="0"/>
      <w:marRight w:val="0"/>
      <w:marTop w:val="0"/>
      <w:marBottom w:val="0"/>
      <w:divBdr>
        <w:top w:val="none" w:sz="0" w:space="0" w:color="auto"/>
        <w:left w:val="none" w:sz="0" w:space="0" w:color="auto"/>
        <w:bottom w:val="none" w:sz="0" w:space="0" w:color="auto"/>
        <w:right w:val="none" w:sz="0" w:space="0" w:color="auto"/>
      </w:divBdr>
      <w:divsChild>
        <w:div w:id="914827520">
          <w:marLeft w:val="0"/>
          <w:marRight w:val="0"/>
          <w:marTop w:val="375"/>
          <w:marBottom w:val="0"/>
          <w:divBdr>
            <w:top w:val="none" w:sz="0" w:space="0" w:color="auto"/>
            <w:left w:val="none" w:sz="0" w:space="0" w:color="auto"/>
            <w:bottom w:val="none" w:sz="0" w:space="0" w:color="auto"/>
            <w:right w:val="none" w:sz="0" w:space="0" w:color="auto"/>
          </w:divBdr>
          <w:divsChild>
            <w:div w:id="392507233">
              <w:marLeft w:val="0"/>
              <w:marRight w:val="0"/>
              <w:marTop w:val="0"/>
              <w:marBottom w:val="0"/>
              <w:divBdr>
                <w:top w:val="none" w:sz="0" w:space="0" w:color="auto"/>
                <w:left w:val="none" w:sz="0" w:space="0" w:color="auto"/>
                <w:bottom w:val="none" w:sz="0" w:space="0" w:color="auto"/>
                <w:right w:val="none" w:sz="0" w:space="0" w:color="auto"/>
              </w:divBdr>
            </w:div>
          </w:divsChild>
        </w:div>
        <w:div w:id="1069114414">
          <w:marLeft w:val="0"/>
          <w:marRight w:val="0"/>
          <w:marTop w:val="225"/>
          <w:marBottom w:val="0"/>
          <w:divBdr>
            <w:top w:val="none" w:sz="0" w:space="0" w:color="auto"/>
            <w:left w:val="none" w:sz="0" w:space="0" w:color="auto"/>
            <w:bottom w:val="none" w:sz="0" w:space="0" w:color="auto"/>
            <w:right w:val="none" w:sz="0" w:space="0" w:color="auto"/>
          </w:divBdr>
          <w:divsChild>
            <w:div w:id="1834762096">
              <w:marLeft w:val="0"/>
              <w:marRight w:val="0"/>
              <w:marTop w:val="0"/>
              <w:marBottom w:val="0"/>
              <w:divBdr>
                <w:top w:val="none" w:sz="0" w:space="0" w:color="auto"/>
                <w:left w:val="none" w:sz="0" w:space="0" w:color="auto"/>
                <w:bottom w:val="none" w:sz="0" w:space="0" w:color="auto"/>
                <w:right w:val="none" w:sz="0" w:space="0" w:color="auto"/>
              </w:divBdr>
              <w:divsChild>
                <w:div w:id="202062155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06877183">
          <w:marLeft w:val="0"/>
          <w:marRight w:val="0"/>
          <w:marTop w:val="225"/>
          <w:marBottom w:val="0"/>
          <w:divBdr>
            <w:top w:val="single" w:sz="6" w:space="19" w:color="C7C7C7"/>
            <w:left w:val="none" w:sz="0" w:space="0" w:color="auto"/>
            <w:bottom w:val="single" w:sz="6" w:space="19" w:color="C7C7C7"/>
            <w:right w:val="none" w:sz="0" w:space="0" w:color="auto"/>
          </w:divBdr>
          <w:divsChild>
            <w:div w:id="923996824">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880511435">
      <w:bodyDiv w:val="1"/>
      <w:marLeft w:val="0"/>
      <w:marRight w:val="0"/>
      <w:marTop w:val="0"/>
      <w:marBottom w:val="0"/>
      <w:divBdr>
        <w:top w:val="none" w:sz="0" w:space="0" w:color="auto"/>
        <w:left w:val="none" w:sz="0" w:space="0" w:color="auto"/>
        <w:bottom w:val="none" w:sz="0" w:space="0" w:color="auto"/>
        <w:right w:val="none" w:sz="0" w:space="0" w:color="auto"/>
      </w:divBdr>
      <w:divsChild>
        <w:div w:id="496113712">
          <w:marLeft w:val="0"/>
          <w:marRight w:val="0"/>
          <w:marTop w:val="375"/>
          <w:marBottom w:val="0"/>
          <w:divBdr>
            <w:top w:val="none" w:sz="0" w:space="0" w:color="auto"/>
            <w:left w:val="none" w:sz="0" w:space="0" w:color="auto"/>
            <w:bottom w:val="none" w:sz="0" w:space="0" w:color="auto"/>
            <w:right w:val="none" w:sz="0" w:space="0" w:color="auto"/>
          </w:divBdr>
          <w:divsChild>
            <w:div w:id="688139495">
              <w:marLeft w:val="0"/>
              <w:marRight w:val="0"/>
              <w:marTop w:val="0"/>
              <w:marBottom w:val="0"/>
              <w:divBdr>
                <w:top w:val="none" w:sz="0" w:space="0" w:color="auto"/>
                <w:left w:val="none" w:sz="0" w:space="0" w:color="auto"/>
                <w:bottom w:val="none" w:sz="0" w:space="0" w:color="auto"/>
                <w:right w:val="none" w:sz="0" w:space="0" w:color="auto"/>
              </w:divBdr>
            </w:div>
          </w:divsChild>
        </w:div>
        <w:div w:id="933707323">
          <w:marLeft w:val="0"/>
          <w:marRight w:val="0"/>
          <w:marTop w:val="225"/>
          <w:marBottom w:val="0"/>
          <w:divBdr>
            <w:top w:val="none" w:sz="0" w:space="0" w:color="auto"/>
            <w:left w:val="none" w:sz="0" w:space="0" w:color="auto"/>
            <w:bottom w:val="none" w:sz="0" w:space="0" w:color="auto"/>
            <w:right w:val="none" w:sz="0" w:space="0" w:color="auto"/>
          </w:divBdr>
          <w:divsChild>
            <w:div w:id="1304576563">
              <w:marLeft w:val="0"/>
              <w:marRight w:val="0"/>
              <w:marTop w:val="0"/>
              <w:marBottom w:val="0"/>
              <w:divBdr>
                <w:top w:val="none" w:sz="0" w:space="0" w:color="auto"/>
                <w:left w:val="none" w:sz="0" w:space="0" w:color="auto"/>
                <w:bottom w:val="none" w:sz="0" w:space="0" w:color="auto"/>
                <w:right w:val="none" w:sz="0" w:space="0" w:color="auto"/>
              </w:divBdr>
              <w:divsChild>
                <w:div w:id="203969852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2211485">
          <w:marLeft w:val="0"/>
          <w:marRight w:val="0"/>
          <w:marTop w:val="225"/>
          <w:marBottom w:val="0"/>
          <w:divBdr>
            <w:top w:val="single" w:sz="6" w:space="19" w:color="C7C7C7"/>
            <w:left w:val="none" w:sz="0" w:space="0" w:color="auto"/>
            <w:bottom w:val="single" w:sz="6" w:space="19" w:color="C7C7C7"/>
            <w:right w:val="none" w:sz="0" w:space="0" w:color="auto"/>
          </w:divBdr>
          <w:divsChild>
            <w:div w:id="57502096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matthews.com/opportunities-in-orange-countys-multifamily-mark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costar.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matthews.com/q2-2023-multifamily-market-report-orange-coun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Gortner</dc:creator>
  <cp:keywords/>
  <dc:description/>
  <cp:lastModifiedBy>Fred Gortner</cp:lastModifiedBy>
  <cp:revision>1</cp:revision>
  <dcterms:created xsi:type="dcterms:W3CDTF">2025-02-19T23:45:00Z</dcterms:created>
  <dcterms:modified xsi:type="dcterms:W3CDTF">2025-02-19T23:46:00Z</dcterms:modified>
</cp:coreProperties>
</file>