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6B"/>
          <w:sz w:val="24"/>
          <w:szCs w:val="24"/>
        </w:rPr>
        <w:t xml:space="preserve">Soluciones 22</w:t>
      </w:r>
    </w:p>
    <w:p>
      <w:pPr>
        <w:spacing w:after="400"/>
      </w:pPr>
      <w:r>
        <w:rPr>
          <w:i/>
          <w:iCs/>
          <w:color w:val="595959"/>
          <w:sz w:val="20"/>
          <w:szCs w:val="20"/>
        </w:rPr>
        <w:t xml:space="preserve">Estrategias claras, resultados medibles</w:t>
      </w:r>
    </w:p>
    <w:p>
      <w:pPr>
        <w:spacing w:after="200"/>
      </w:pPr>
      <w:r>
        <w:rPr>
          <w:b/>
          <w:bCs/>
          <w:color w:val="0E4E4A"/>
          <w:sz w:val="32"/>
          <w:szCs w:val="32"/>
        </w:rPr>
        <w:t xml:space="preserve">TRABAJO PRÁCTICO INTEGRADOR — ENTREGA 2</w:t>
      </w:r>
    </w:p>
    <w:p>
      <w:pPr>
        <w:spacing w:after="120"/>
      </w:pPr>
      <w:r>
        <w:rPr>
          <w:color w:val="1F6F6B"/>
          <w:sz w:val="24"/>
          <w:szCs w:val="24"/>
        </w:rPr>
        <w:t xml:space="preserve">Problemas, priorización y rediseño de procesos (TO-BE)</w:t>
      </w:r>
    </w:p>
    <w:p>
      <w:pPr>
        <w:spacing w:after="60"/>
      </w:pPr>
      <w:r>
        <w:rPr>
          <w:sz w:val="21"/>
          <w:szCs w:val="21"/>
        </w:rPr>
        <w:t xml:space="preserve">Unidad de negocio: Infraestructura (Sistemas de Seguridad)</w:t>
      </w:r>
    </w:p>
    <w:p>
      <w:pPr>
        <w:spacing w:after="60"/>
      </w:pPr>
      <w:r>
        <w:rPr>
          <w:sz w:val="21"/>
          <w:szCs w:val="21"/>
        </w:rPr>
        <w:t xml:space="preserve">Cliente: Algardata S.A.</w:t>
      </w:r>
    </w:p>
    <w:p>
      <w:pPr>
        <w:spacing w:after="60"/>
      </w:pPr>
      <w:r>
        <w:rPr>
          <w:sz w:val="21"/>
          <w:szCs w:val="21"/>
        </w:rPr>
        <w:t xml:space="preserve">Septiembre de 2026</w:t>
      </w:r>
    </w:p>
    <w:p>
      <w:pPr>
        <w:spacing w:after="400"/>
      </w:pPr>
      <w:r>
        <w:rPr>
          <w:i/>
          <w:iCs/>
          <w:color w:val="595959"/>
          <w:sz w:val="19"/>
          <w:szCs w:val="19"/>
        </w:rPr>
        <w:t xml:space="preserve">Documento de trabajo — versión editable</w:t>
      </w:r>
    </w:p>
    <w:p>
      <w:pPr>
        <w:pStyle w:val="Heading1"/>
        <w:spacing w:after="160" w:before="320"/>
      </w:pPr>
      <w:r>
        <w:rPr>
          <w:b/>
          <w:bCs/>
          <w:color w:val="0E4E4A"/>
        </w:rPr>
        <w:t xml:space="preserve">1. Problemas y Oportunidades</w:t>
      </w:r>
    </w:p>
    <w:p>
      <w:pPr>
        <w:spacing w:after="160" w:line="276"/>
      </w:pPr>
      <w:r>
        <w:rPr>
          <w:b w:val="false"/>
          <w:bCs w:val="false"/>
          <w:i w:val="false"/>
          <w:iCs w:val="false"/>
          <w:sz w:val="21"/>
          <w:szCs w:val="21"/>
        </w:rPr>
        <w:t xml:space="preserve">A partir del diagnóstico presentado en la Entrega 1, se identifican seis problemas/oportunidades relevantes para la unidad de Infraestructura de Algardata S.A. Para dos de ellos —por su carácter estructural— se realiza además un análisis de causa raíz.</w:t>
      </w:r>
    </w:p>
    <w:p>
      <w:pPr>
        <w:pStyle w:val="Heading2"/>
        <w:spacing w:after="120" w:before="240"/>
      </w:pPr>
      <w:r>
        <w:rPr>
          <w:b/>
          <w:bCs/>
          <w:color w:val="1F6F6B"/>
        </w:rPr>
        <w:t xml:space="preserve">1.1 Listado de problemas y oportunidades</w:t>
      </w:r>
    </w:p>
    <w:p>
      <w:pPr>
        <w:pStyle w:val="ListParagraph"/>
        <w:numPr>
          <w:ilvl w:val="0"/>
          <w:numId w:val="1"/>
        </w:numPr>
        <w:spacing w:after="100" w:line="276"/>
      </w:pPr>
      <w:r>
        <w:rPr>
          <w:b/>
          <w:bCs/>
          <w:sz w:val="21"/>
          <w:szCs w:val="21"/>
        </w:rPr>
        <w:t xml:space="preserve">P1. </w:t>
      </w:r>
      <w:r>
        <w:rPr>
          <w:sz w:val="21"/>
          <w:szCs w:val="21"/>
        </w:rPr>
        <w:t xml:space="preserve">Desconocimiento del costo real de la mano de obra por proyecto. Los presupuestos de mayor envergadura se elaboran “a ojo” por el dueño, sin respaldo histórico de costos, generando desvíos recurrentes entre lo presupuestado y lo real.</w:t>
      </w:r>
    </w:p>
    <w:p>
      <w:pPr>
        <w:pStyle w:val="ListParagraph"/>
        <w:numPr>
          <w:ilvl w:val="0"/>
          <w:numId w:val="1"/>
        </w:numPr>
        <w:spacing w:after="100" w:line="276"/>
      </w:pPr>
      <w:r>
        <w:rPr>
          <w:b/>
          <w:bCs/>
          <w:sz w:val="21"/>
          <w:szCs w:val="21"/>
        </w:rPr>
        <w:t xml:space="preserve">P2. </w:t>
      </w:r>
      <w:r>
        <w:rPr>
          <w:sz w:val="21"/>
          <w:szCs w:val="21"/>
        </w:rPr>
        <w:t xml:space="preserve">Falta de estandarización en el registro de datos por parte de los técnicos en campo. No existe un formato único para reportar horas y materiales utilizados, lo que deriva en información dispersa e incompleta (señalado en el diagnóstico como la raíz de la desorganización de datos).</w:t>
      </w:r>
    </w:p>
    <w:p>
      <w:pPr>
        <w:pStyle w:val="ListParagraph"/>
        <w:numPr>
          <w:ilvl w:val="0"/>
          <w:numId w:val="1"/>
        </w:numPr>
        <w:spacing w:after="100" w:line="276"/>
      </w:pPr>
      <w:r>
        <w:rPr>
          <w:b/>
          <w:bCs/>
          <w:sz w:val="21"/>
          <w:szCs w:val="21"/>
        </w:rPr>
        <w:t xml:space="preserve">P3. </w:t>
      </w:r>
      <w:r>
        <w:rPr>
          <w:sz w:val="21"/>
          <w:szCs w:val="21"/>
        </w:rPr>
        <w:t xml:space="preserve">Elevada carga administrativa dedicada a corregir errores en facturas y presupuestos. Al cierre de cada trabajo (Etapa 8, Control de calidad), Administración debe reconstruir manualmente materiales y horas por falta de registros estandarizados.</w:t>
      </w:r>
    </w:p>
    <w:p>
      <w:pPr>
        <w:pStyle w:val="ListParagraph"/>
        <w:numPr>
          <w:ilvl w:val="0"/>
          <w:numId w:val="1"/>
        </w:numPr>
        <w:spacing w:after="100" w:line="276"/>
      </w:pPr>
      <w:r>
        <w:rPr>
          <w:b/>
          <w:bCs/>
          <w:sz w:val="21"/>
          <w:szCs w:val="21"/>
        </w:rPr>
        <w:t xml:space="preserve">P4. </w:t>
      </w:r>
      <w:r>
        <w:rPr>
          <w:sz w:val="21"/>
          <w:szCs w:val="21"/>
        </w:rPr>
        <w:t xml:space="preserve">Base de datos amplia en Airdesk, pero no relacionada. La empresa cuenta con un volumen importante de información histórica, pero sin vínculos entre registros, lo que impide explotarla para análisis de costos y rentabilidad.</w:t>
      </w:r>
    </w:p>
    <w:p>
      <w:pPr>
        <w:pStyle w:val="ListParagraph"/>
        <w:numPr>
          <w:ilvl w:val="0"/>
          <w:numId w:val="1"/>
        </w:numPr>
        <w:spacing w:after="100" w:line="276"/>
      </w:pPr>
      <w:r>
        <w:rPr>
          <w:b/>
          <w:bCs/>
          <w:sz w:val="21"/>
          <w:szCs w:val="21"/>
        </w:rPr>
        <w:t xml:space="preserve">P5. </w:t>
      </w:r>
      <w:r>
        <w:rPr>
          <w:sz w:val="21"/>
          <w:szCs w:val="21"/>
        </w:rPr>
        <w:t xml:space="preserve">Dependencia del criterio individual del dueño para presupuestar la mano de obra. Concentra en una sola persona una decisión crítica del negocio, con riesgo para la continuidad y escalabilidad de la operación.</w:t>
      </w:r>
    </w:p>
    <w:p>
      <w:pPr>
        <w:pStyle w:val="ListParagraph"/>
        <w:numPr>
          <w:ilvl w:val="0"/>
          <w:numId w:val="1"/>
        </w:numPr>
        <w:spacing w:after="100" w:line="276"/>
      </w:pPr>
      <w:r>
        <w:rPr>
          <w:b/>
          <w:bCs/>
          <w:sz w:val="21"/>
          <w:szCs w:val="21"/>
        </w:rPr>
        <w:t xml:space="preserve">O1. </w:t>
      </w:r>
      <w:r>
        <w:rPr>
          <w:sz w:val="21"/>
          <w:szCs w:val="21"/>
        </w:rPr>
        <w:t xml:space="preserve">Oportunidad: baja competencia de soluciones de este tipo en el mercado local. Formalizar el costeo del recurso humano puede convertirse en un diferencial competitivo frente a otras empresas del rubro que operan con la misma informalidad.</w:t>
      </w:r>
    </w:p>
    <w:p>
      <w:pPr>
        <w:pStyle w:val="Heading2"/>
        <w:spacing w:after="120" w:before="240"/>
      </w:pPr>
      <w:r>
        <w:rPr>
          <w:b/>
          <w:bCs/>
          <w:color w:val="1F6F6B"/>
        </w:rPr>
        <w:t xml:space="preserve">1.2 Análisis de causa raíz — Problema P1 (5 Porqués)</w:t>
      </w:r>
    </w:p>
    <w:p>
      <w:pPr>
        <w:spacing w:after="160" w:line="276"/>
      </w:pPr>
      <w:r>
        <w:rPr>
          <w:b/>
          <w:bCs/>
          <w:i w:val="false"/>
          <w:iCs w:val="false"/>
          <w:sz w:val="21"/>
          <w:szCs w:val="21"/>
        </w:rPr>
        <w:t xml:space="preserve">Desconocimiento del costo real de la mano de obra por proyecto.</w:t>
      </w:r>
    </w:p>
    <w:p>
      <w:pPr>
        <w:pStyle w:val="ListParagraph"/>
        <w:numPr>
          <w:ilvl w:val="0"/>
          <w:numId w:val="1"/>
        </w:numPr>
        <w:spacing w:after="100" w:line="276"/>
      </w:pPr>
      <w:r>
        <w:rPr>
          <w:b/>
          <w:bCs/>
          <w:sz w:val="21"/>
          <w:szCs w:val="21"/>
        </w:rPr>
        <w:t xml:space="preserve">1. </w:t>
      </w:r>
      <w:r>
        <w:rPr>
          <w:sz w:val="21"/>
          <w:szCs w:val="21"/>
        </w:rPr>
        <w:t xml:space="preserve">¿Por qué no se conoce el costo real de la mano de obra por proyecto? Porque no existe un registro sistemático de horas trabajadas por técnico y por proyecto.</w:t>
      </w:r>
    </w:p>
    <w:p>
      <w:pPr>
        <w:pStyle w:val="ListParagraph"/>
        <w:numPr>
          <w:ilvl w:val="0"/>
          <w:numId w:val="1"/>
        </w:numPr>
        <w:spacing w:after="100" w:line="276"/>
      </w:pPr>
      <w:r>
        <w:rPr>
          <w:b/>
          <w:bCs/>
          <w:sz w:val="21"/>
          <w:szCs w:val="21"/>
        </w:rPr>
        <w:t xml:space="preserve">2. </w:t>
      </w:r>
      <w:r>
        <w:rPr>
          <w:sz w:val="21"/>
          <w:szCs w:val="21"/>
        </w:rPr>
        <w:t xml:space="preserve">¿Por qué no existe ese registro sistemático? Porque los técnicos reportan su trabajo de manera informal (verbal o por WhatsApp), sin un formato estandarizado.</w:t>
      </w:r>
    </w:p>
    <w:p>
      <w:pPr>
        <w:pStyle w:val="ListParagraph"/>
        <w:numPr>
          <w:ilvl w:val="0"/>
          <w:numId w:val="1"/>
        </w:numPr>
        <w:spacing w:after="100" w:line="276"/>
      </w:pPr>
      <w:r>
        <w:rPr>
          <w:b/>
          <w:bCs/>
          <w:sz w:val="21"/>
          <w:szCs w:val="21"/>
        </w:rPr>
        <w:t xml:space="preserve">3. </w:t>
      </w:r>
      <w:r>
        <w:rPr>
          <w:sz w:val="21"/>
          <w:szCs w:val="21"/>
        </w:rPr>
        <w:t xml:space="preserve">¿Por qué los reportes de los técnicos son informales? Porque nunca se definieron estándares ni herramientas obligatorias de registro en campo.</w:t>
      </w:r>
    </w:p>
    <w:p>
      <w:pPr>
        <w:pStyle w:val="ListParagraph"/>
        <w:numPr>
          <w:ilvl w:val="0"/>
          <w:numId w:val="1"/>
        </w:numPr>
        <w:spacing w:after="100" w:line="276"/>
      </w:pPr>
      <w:r>
        <w:rPr>
          <w:b/>
          <w:bCs/>
          <w:sz w:val="21"/>
          <w:szCs w:val="21"/>
        </w:rPr>
        <w:t xml:space="preserve">4. </w:t>
      </w:r>
      <w:r>
        <w:rPr>
          <w:sz w:val="21"/>
          <w:szCs w:val="21"/>
        </w:rPr>
        <w:t xml:space="preserve">¿Por qué no se definieron esos estándares? Porque la prioridad histórica de la empresa estuvo puesta en la ejecución operativa y el crecimiento comercial, no en la trazabilidad de datos internos.</w:t>
      </w:r>
    </w:p>
    <w:p>
      <w:pPr>
        <w:pStyle w:val="ListParagraph"/>
        <w:numPr>
          <w:ilvl w:val="0"/>
          <w:numId w:val="1"/>
        </w:numPr>
        <w:spacing w:after="100" w:line="276"/>
      </w:pPr>
      <w:r>
        <w:rPr>
          <w:b/>
          <w:bCs/>
          <w:sz w:val="21"/>
          <w:szCs w:val="21"/>
        </w:rPr>
        <w:t xml:space="preserve">5. </w:t>
      </w:r>
      <w:r>
        <w:rPr>
          <w:sz w:val="21"/>
          <w:szCs w:val="21"/>
        </w:rPr>
        <w:t xml:space="preserve">¿Por qué la trazabilidad interna nunca fue prioridad? Porque, al tratarse de una empresa de crecimiento orgánico, las decisiones de presupuestación quedaron concentradas y resueltas “a criterio” del dueño, sin que la falta de datos representara —hasta ahora— un freno visible al negocio.</w:t>
      </w:r>
    </w:p>
    <w:p>
      <w:pPr>
        <w:spacing w:after="160" w:line="276"/>
      </w:pPr>
      <w:r>
        <w:rPr>
          <w:b w:val="false"/>
          <w:bCs w:val="false"/>
          <w:i/>
          <w:iCs/>
          <w:sz w:val="21"/>
          <w:szCs w:val="21"/>
        </w:rPr>
        <w:t xml:space="preserve">Causa raíz: la toma de decisiones de costeo se concentró históricamente en el dueño, sin que existiera una necesidad percibida de sistematizar datos, hasta que la escala actual del negocio volvió insostenible esa informalidad.</w:t>
      </w:r>
    </w:p>
    <w:p>
      <w:pPr>
        <w:pStyle w:val="Heading2"/>
        <w:spacing w:after="120" w:before="240"/>
      </w:pPr>
      <w:r>
        <w:rPr>
          <w:b/>
          <w:bCs/>
          <w:color w:val="1F6F6B"/>
        </w:rPr>
        <w:t xml:space="preserve">1.3 Análisis de causa raíz — Problema P3 (Diagrama de Ishikawa)</w:t>
      </w:r>
    </w:p>
    <w:p>
      <w:pPr>
        <w:spacing w:after="160" w:line="276"/>
      </w:pPr>
      <w:r>
        <w:rPr>
          <w:b/>
          <w:bCs/>
          <w:i w:val="false"/>
          <w:iCs w:val="false"/>
          <w:sz w:val="21"/>
          <w:szCs w:val="21"/>
        </w:rPr>
        <w:t xml:space="preserve">Elevada carga administrativa dedicada a corregir errores en facturas y presupuestos.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Categoría</w:t>
            </w:r>
          </w:p>
        </w:tc>
        <w:tc>
          <w:tcPr>
            <w:tcW w:type="dxa" w:w="715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Causas identificadas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Personas</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Técnicos sin capacitación en criterios de registro estandarizado.</w:t>
            </w:r>
          </w:p>
          <w:p>
            <w:pPr>
              <w:spacing w:after="60"/>
            </w:pPr>
            <w:r>
              <w:rPr>
                <w:b w:val="false"/>
                <w:bCs w:val="false"/>
                <w:sz w:val="20"/>
                <w:szCs w:val="20"/>
              </w:rPr>
              <w:t xml:space="preserve">Poco tiempo disponible en campo para documentar de forma detallada.</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Procesos</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No existe un punto de control de datos durante la ejecución (Etapa 7); todo el control se concentra recién al final (Etapa 8).</w:t>
            </w:r>
          </w:p>
          <w:p>
            <w:pPr>
              <w:spacing w:after="60"/>
            </w:pPr>
            <w:r>
              <w:rPr>
                <w:b w:val="false"/>
                <w:bCs w:val="false"/>
                <w:sz w:val="20"/>
                <w:szCs w:val="20"/>
              </w:rPr>
              <w:t xml:space="preserve">El cierre depende de que Administración reconstruya manualmente lo ocurrido.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Datos / Información</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Información dispersa entre WhatsApp, Airdesk y anotaciones informales.</w:t>
            </w:r>
          </w:p>
          <w:p>
            <w:pPr>
              <w:spacing w:after="60"/>
            </w:pPr>
            <w:r>
              <w:rPr>
                <w:b w:val="false"/>
                <w:bCs w:val="false"/>
                <w:sz w:val="20"/>
                <w:szCs w:val="20"/>
              </w:rPr>
              <w:t xml:space="preserve">Sin relación entre registros históricos y proyectos actuales.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Tecnología</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Airdesk no está configurado para capturar horas y materiales de forma estructurada por proyecto.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Método de presupuestación</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La estimación inicial de mano de obra (Etapa 4) es subjetiva, por lo que cualquier desvío se detecta recién al cierre, generando retrabajo administrativo.</w:t>
            </w:r>
          </w:p>
        </w:tc>
      </w:tr>
    </w:tbl>
    <w:p>
      <w:pPr>
        <w:spacing w:after="160" w:line="276"/>
      </w:pPr>
      <w:r>
        <w:rPr>
          <w:b w:val="false"/>
          <w:bCs w:val="false"/>
          <w:i w:val="false"/>
          <w:iCs w:val="false"/>
          <w:sz w:val="21"/>
          <w:szCs w:val="21"/>
        </w:rPr>
        <w:t xml:space="preserve"/>
      </w:r>
    </w:p>
    <w:p>
      <w:pPr>
        <w:pStyle w:val="Heading1"/>
        <w:spacing w:after="160" w:before="320"/>
      </w:pPr>
      <w:r>
        <w:rPr>
          <w:b/>
          <w:bCs/>
          <w:color w:val="0E4E4A"/>
        </w:rPr>
        <w:t xml:space="preserve">2. Priorización — Matriz Impacto x Esfuerzo</w:t>
      </w:r>
    </w:p>
    <w:p>
      <w:pPr>
        <w:spacing w:after="160" w:line="276"/>
      </w:pPr>
      <w:r>
        <w:rPr>
          <w:b w:val="false"/>
          <w:bCs w:val="false"/>
          <w:i w:val="false"/>
          <w:iCs w:val="false"/>
          <w:sz w:val="21"/>
          <w:szCs w:val="21"/>
        </w:rPr>
        <w:t xml:space="preserve">Se ubican los seis problemas/oportunidades identificados en una matriz de Impacto (sobre el objetivo del proyecto: costear la mano de obra y sostener presupuestos) y Esfuerzo (recursos, tiempo y complejidad requeridos para resolverlos).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Cuadrante</w:t>
            </w:r>
          </w:p>
        </w:tc>
        <w:tc>
          <w:tcPr>
            <w:tcW w:type="dxa" w:w="22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Ítems ubicados</w:t>
            </w:r>
          </w:p>
        </w:tc>
        <w:tc>
          <w:tcPr>
            <w:tcW w:type="dxa" w:w="455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Justificación</w:t>
            </w:r>
          </w:p>
        </w:tc>
      </w:tr>
      <w:tr>
        <w:tc>
          <w:tcPr>
            <w:tcW w:type="dxa" w:w="2600"/>
            <w:tcBorders>
              <w:top w:val="single" w:color="D9D9D9" w:sz="4"/>
              <w:left w:val="single" w:color="D9D9D9" w:sz="4"/>
              <w:bottom w:val="single" w:color="D9D9D9" w:sz="4"/>
              <w:right w:val="single" w:color="D9D9D9" w:sz="4"/>
            </w:tcBorders>
            <w:shd w:fill="E4F1E1" w:color="auto" w:val="clear"/>
            <w:tcMar>
              <w:top w:type="dxa" w:w="100"/>
              <w:left w:type="dxa" w:w="120"/>
              <w:bottom w:type="dxa" w:w="100"/>
              <w:right w:type="dxa" w:w="120"/>
            </w:tcMar>
            <w:vAlign w:val="center"/>
          </w:tcPr>
          <w:p>
            <w:r>
              <w:rPr>
                <w:b/>
                <w:bCs/>
                <w:sz w:val="20"/>
                <w:szCs w:val="20"/>
              </w:rPr>
              <w:t xml:space="preserve">Alto Impacto / Bajo Esfuerzo
(Quick wins)</w:t>
            </w:r>
          </w:p>
        </w:tc>
        <w:tc>
          <w:tcPr>
            <w:tcW w:type="dxa" w:w="2200"/>
            <w:tcBorders>
              <w:top w:val="single" w:color="D9D9D9" w:sz="4"/>
              <w:left w:val="single" w:color="D9D9D9" w:sz="4"/>
              <w:bottom w:val="single" w:color="D9D9D9" w:sz="4"/>
              <w:right w:val="single" w:color="D9D9D9" w:sz="4"/>
            </w:tcBorders>
            <w:shd w:fill="E4F1E1" w:color="auto" w:val="clear"/>
            <w:tcMar>
              <w:top w:type="dxa" w:w="100"/>
              <w:left w:type="dxa" w:w="120"/>
              <w:bottom w:type="dxa" w:w="100"/>
              <w:right w:type="dxa" w:w="120"/>
            </w:tcMar>
            <w:vAlign w:val="center"/>
          </w:tcPr>
          <w:p>
            <w:pPr>
              <w:spacing w:after="60"/>
            </w:pPr>
            <w:r>
              <w:rPr>
                <w:b w:val="false"/>
                <w:bCs w:val="false"/>
                <w:sz w:val="20"/>
                <w:szCs w:val="20"/>
              </w:rPr>
              <w:t xml:space="preserve">P2 — Estandarización del registro de técnicos</w:t>
            </w:r>
          </w:p>
          <w:p>
            <w:pPr>
              <w:spacing w:after="60"/>
            </w:pPr>
            <w:r>
              <w:rPr>
                <w:b w:val="false"/>
                <w:bCs w:val="false"/>
                <w:sz w:val="20"/>
                <w:szCs w:val="20"/>
              </w:rPr>
              <w:t xml:space="preserve">P3 — Reducir carga administrativa en cierre</w:t>
            </w:r>
          </w:p>
        </w:tc>
        <w:tc>
          <w:tcPr>
            <w:tcW w:type="dxa" w:w="4550"/>
            <w:tcBorders>
              <w:top w:val="single" w:color="D9D9D9" w:sz="4"/>
              <w:left w:val="single" w:color="D9D9D9" w:sz="4"/>
              <w:bottom w:val="single" w:color="D9D9D9" w:sz="4"/>
              <w:right w:val="single" w:color="D9D9D9" w:sz="4"/>
            </w:tcBorders>
            <w:shd w:fill="E4F1E1" w:color="auto" w:val="clear"/>
            <w:tcMar>
              <w:top w:type="dxa" w:w="100"/>
              <w:left w:type="dxa" w:w="120"/>
              <w:bottom w:type="dxa" w:w="100"/>
              <w:right w:type="dxa" w:w="120"/>
            </w:tcMar>
            <w:vAlign w:val="center"/>
          </w:tcPr>
          <w:p>
            <w:pPr>
              <w:spacing w:after="60"/>
            </w:pPr>
            <w:r>
              <w:rPr>
                <w:b w:val="false"/>
                <w:bCs w:val="false"/>
                <w:sz w:val="20"/>
                <w:szCs w:val="20"/>
              </w:rPr>
              <w:t xml:space="preserve">Definir una plantilla simple de horas y materiales no requiere desarrollo tecnológico complejo, solo diseño del formato y capacitación. Ataca la causa raíz (P2) y, al llegar datos ya estructurados, reduce directamente el trabajo de reconstrucción manual de Administración (P3).</w:t>
            </w:r>
          </w:p>
        </w:tc>
      </w:tr>
      <w:tr>
        <w:tc>
          <w:tcPr>
            <w:tcW w:type="dxa" w:w="2600"/>
            <w:tcBorders>
              <w:top w:val="single" w:color="D9D9D9" w:sz="4"/>
              <w:left w:val="single" w:color="D9D9D9" w:sz="4"/>
              <w:bottom w:val="single" w:color="D9D9D9" w:sz="4"/>
              <w:right w:val="single" w:color="D9D9D9" w:sz="4"/>
            </w:tcBorders>
            <w:shd w:fill="FDF1D8" w:color="auto" w:val="clear"/>
            <w:tcMar>
              <w:top w:type="dxa" w:w="100"/>
              <w:left w:type="dxa" w:w="120"/>
              <w:bottom w:type="dxa" w:w="100"/>
              <w:right w:type="dxa" w:w="120"/>
            </w:tcMar>
            <w:vAlign w:val="center"/>
          </w:tcPr>
          <w:p>
            <w:r>
              <w:rPr>
                <w:b/>
                <w:bCs/>
                <w:sz w:val="20"/>
                <w:szCs w:val="20"/>
              </w:rPr>
              <w:t xml:space="preserve">Alto Impacto / Alto Esfuerzo
(Proyectos estratégicos)</w:t>
            </w:r>
          </w:p>
        </w:tc>
        <w:tc>
          <w:tcPr>
            <w:tcW w:type="dxa" w:w="2200"/>
            <w:tcBorders>
              <w:top w:val="single" w:color="D9D9D9" w:sz="4"/>
              <w:left w:val="single" w:color="D9D9D9" w:sz="4"/>
              <w:bottom w:val="single" w:color="D9D9D9" w:sz="4"/>
              <w:right w:val="single" w:color="D9D9D9" w:sz="4"/>
            </w:tcBorders>
            <w:shd w:fill="FDF1D8" w:color="auto" w:val="clear"/>
            <w:tcMar>
              <w:top w:type="dxa" w:w="100"/>
              <w:left w:type="dxa" w:w="120"/>
              <w:bottom w:type="dxa" w:w="100"/>
              <w:right w:type="dxa" w:w="120"/>
            </w:tcMar>
            <w:vAlign w:val="center"/>
          </w:tcPr>
          <w:p>
            <w:pPr>
              <w:spacing w:after="60"/>
            </w:pPr>
            <w:r>
              <w:rPr>
                <w:b w:val="false"/>
                <w:bCs w:val="false"/>
                <w:sz w:val="20"/>
                <w:szCs w:val="20"/>
              </w:rPr>
              <w:t xml:space="preserve">P1 — Costo histórico de mano de obra</w:t>
            </w:r>
          </w:p>
          <w:p>
            <w:pPr>
              <w:spacing w:after="60"/>
            </w:pPr>
            <w:r>
              <w:rPr>
                <w:b w:val="false"/>
                <w:bCs w:val="false"/>
                <w:sz w:val="20"/>
                <w:szCs w:val="20"/>
              </w:rPr>
              <w:t xml:space="preserve">P5 — Dependencia del criterio del dueño</w:t>
            </w:r>
          </w:p>
        </w:tc>
        <w:tc>
          <w:tcPr>
            <w:tcW w:type="dxa" w:w="4550"/>
            <w:tcBorders>
              <w:top w:val="single" w:color="D9D9D9" w:sz="4"/>
              <w:left w:val="single" w:color="D9D9D9" w:sz="4"/>
              <w:bottom w:val="single" w:color="D9D9D9" w:sz="4"/>
              <w:right w:val="single" w:color="D9D9D9" w:sz="4"/>
            </w:tcBorders>
            <w:shd w:fill="FDF1D8" w:color="auto" w:val="clear"/>
            <w:tcMar>
              <w:top w:type="dxa" w:w="100"/>
              <w:left w:type="dxa" w:w="120"/>
              <w:bottom w:type="dxa" w:w="100"/>
              <w:right w:type="dxa" w:w="120"/>
            </w:tcMar>
            <w:vAlign w:val="center"/>
          </w:tcPr>
          <w:p>
            <w:pPr>
              <w:spacing w:after="60"/>
            </w:pPr>
            <w:r>
              <w:rPr>
                <w:b w:val="false"/>
                <w:bCs w:val="false"/>
                <w:sz w:val="20"/>
                <w:szCs w:val="20"/>
              </w:rPr>
              <w:t xml:space="preserve">Reconstruir el costo histórico exige integrar y limpiar datos de múltiples fuentes (Airdesk + nuevo registro) y construir un modelo de costeo, lo que demanda tiempo y desarrollo. Reducir la dependencia del dueño implica, además, validar ese modelo y lograr que sea aceptado como criterio de decisión, un cambio de mayor esfuerzo organizacional.</w:t>
            </w:r>
          </w:p>
        </w:tc>
      </w:tr>
      <w:tr>
        <w:tc>
          <w:tcPr>
            <w:tcW w:type="dxa" w:w="2600"/>
            <w:tcBorders>
              <w:top w:val="single" w:color="D9D9D9" w:sz="4"/>
              <w:left w:val="single" w:color="D9D9D9" w:sz="4"/>
              <w:bottom w:val="single" w:color="D9D9D9" w:sz="4"/>
              <w:right w:val="single" w:color="D9D9D9" w:sz="4"/>
            </w:tcBorders>
            <w:shd w:fill="E8EEF7" w:color="auto" w:val="clear"/>
            <w:tcMar>
              <w:top w:type="dxa" w:w="100"/>
              <w:left w:type="dxa" w:w="120"/>
              <w:bottom w:type="dxa" w:w="100"/>
              <w:right w:type="dxa" w:w="120"/>
            </w:tcMar>
            <w:vAlign w:val="center"/>
          </w:tcPr>
          <w:p>
            <w:r>
              <w:rPr>
                <w:b/>
                <w:bCs/>
                <w:sz w:val="20"/>
                <w:szCs w:val="20"/>
              </w:rPr>
              <w:t xml:space="preserve">Bajo Impacto / Bajo Esfuerzo
(Mejoras incrementales)</w:t>
            </w:r>
          </w:p>
        </w:tc>
        <w:tc>
          <w:tcPr>
            <w:tcW w:type="dxa" w:w="2200"/>
            <w:tcBorders>
              <w:top w:val="single" w:color="D9D9D9" w:sz="4"/>
              <w:left w:val="single" w:color="D9D9D9" w:sz="4"/>
              <w:bottom w:val="single" w:color="D9D9D9" w:sz="4"/>
              <w:right w:val="single" w:color="D9D9D9" w:sz="4"/>
            </w:tcBorders>
            <w:shd w:fill="E8EEF7" w:color="auto" w:val="clear"/>
            <w:tcMar>
              <w:top w:type="dxa" w:w="100"/>
              <w:left w:type="dxa" w:w="120"/>
              <w:bottom w:type="dxa" w:w="100"/>
              <w:right w:type="dxa" w:w="120"/>
            </w:tcMar>
            <w:vAlign w:val="center"/>
          </w:tcPr>
          <w:p>
            <w:pPr>
              <w:spacing w:after="60"/>
            </w:pPr>
            <w:r>
              <w:rPr>
                <w:b w:val="false"/>
                <w:bCs w:val="false"/>
                <w:sz w:val="20"/>
                <w:szCs w:val="20"/>
              </w:rPr>
              <w:t xml:space="preserve">O1 — Diferencial competitivo por baja competencia</w:t>
            </w:r>
          </w:p>
        </w:tc>
        <w:tc>
          <w:tcPr>
            <w:tcW w:type="dxa" w:w="4550"/>
            <w:tcBorders>
              <w:top w:val="single" w:color="D9D9D9" w:sz="4"/>
              <w:left w:val="single" w:color="D9D9D9" w:sz="4"/>
              <w:bottom w:val="single" w:color="D9D9D9" w:sz="4"/>
              <w:right w:val="single" w:color="D9D9D9" w:sz="4"/>
            </w:tcBorders>
            <w:shd w:fill="E8EEF7" w:color="auto" w:val="clear"/>
            <w:tcMar>
              <w:top w:type="dxa" w:w="100"/>
              <w:left w:type="dxa" w:w="120"/>
              <w:bottom w:type="dxa" w:w="100"/>
              <w:right w:type="dxa" w:w="120"/>
            </w:tcMar>
            <w:vAlign w:val="center"/>
          </w:tcPr>
          <w:p>
            <w:pPr>
              <w:spacing w:after="60"/>
            </w:pPr>
            <w:r>
              <w:rPr>
                <w:b w:val="false"/>
                <w:bCs w:val="false"/>
                <w:sz w:val="20"/>
                <w:szCs w:val="20"/>
              </w:rPr>
              <w:t xml:space="preserve">Comunicar la formalización del costeo como diferencial de marca es sencillo de implementar, pero su impacto sobre el problema central (costeo del recurso humano) es indirecto y de mediano plazo.</w:t>
            </w:r>
          </w:p>
        </w:tc>
      </w:tr>
      <w:tr>
        <w:tc>
          <w:tcPr>
            <w:tcW w:type="dxa" w:w="2600"/>
            <w:tcBorders>
              <w:top w:val="single" w:color="D9D9D9" w:sz="4"/>
              <w:left w:val="single" w:color="D9D9D9" w:sz="4"/>
              <w:bottom w:val="single" w:color="D9D9D9" w:sz="4"/>
              <w:right w:val="single" w:color="D9D9D9" w:sz="4"/>
            </w:tcBorders>
            <w:shd w:fill="F7E7E7" w:color="auto" w:val="clear"/>
            <w:tcMar>
              <w:top w:type="dxa" w:w="100"/>
              <w:left w:type="dxa" w:w="120"/>
              <w:bottom w:type="dxa" w:w="100"/>
              <w:right w:type="dxa" w:w="120"/>
            </w:tcMar>
            <w:vAlign w:val="center"/>
          </w:tcPr>
          <w:p>
            <w:r>
              <w:rPr>
                <w:b/>
                <w:bCs/>
                <w:sz w:val="20"/>
                <w:szCs w:val="20"/>
              </w:rPr>
              <w:t xml:space="preserve">Bajo Impacto / Alto Esfuerzo
(Postergar)</w:t>
            </w:r>
          </w:p>
        </w:tc>
        <w:tc>
          <w:tcPr>
            <w:tcW w:type="dxa" w:w="2200"/>
            <w:tcBorders>
              <w:top w:val="single" w:color="D9D9D9" w:sz="4"/>
              <w:left w:val="single" w:color="D9D9D9" w:sz="4"/>
              <w:bottom w:val="single" w:color="D9D9D9" w:sz="4"/>
              <w:right w:val="single" w:color="D9D9D9" w:sz="4"/>
            </w:tcBorders>
            <w:shd w:fill="F7E7E7" w:color="auto" w:val="clear"/>
            <w:tcMar>
              <w:top w:type="dxa" w:w="100"/>
              <w:left w:type="dxa" w:w="120"/>
              <w:bottom w:type="dxa" w:w="100"/>
              <w:right w:type="dxa" w:w="120"/>
            </w:tcMar>
            <w:vAlign w:val="center"/>
          </w:tcPr>
          <w:p>
            <w:pPr>
              <w:spacing w:after="60"/>
            </w:pPr>
            <w:r>
              <w:rPr>
                <w:b w:val="false"/>
                <w:bCs w:val="false"/>
                <w:sz w:val="20"/>
                <w:szCs w:val="20"/>
              </w:rPr>
              <w:t xml:space="preserve">P4 — Relacionar íntegramente la base histórica de Airdesk</w:t>
            </w:r>
          </w:p>
        </w:tc>
        <w:tc>
          <w:tcPr>
            <w:tcW w:type="dxa" w:w="4550"/>
            <w:tcBorders>
              <w:top w:val="single" w:color="D9D9D9" w:sz="4"/>
              <w:left w:val="single" w:color="D9D9D9" w:sz="4"/>
              <w:bottom w:val="single" w:color="D9D9D9" w:sz="4"/>
              <w:right w:val="single" w:color="D9D9D9" w:sz="4"/>
            </w:tcBorders>
            <w:shd w:fill="F7E7E7" w:color="auto" w:val="clear"/>
            <w:tcMar>
              <w:top w:type="dxa" w:w="100"/>
              <w:left w:type="dxa" w:w="120"/>
              <w:bottom w:type="dxa" w:w="100"/>
              <w:right w:type="dxa" w:w="120"/>
            </w:tcMar>
            <w:vAlign w:val="center"/>
          </w:tcPr>
          <w:p>
            <w:pPr>
              <w:spacing w:after="60"/>
            </w:pPr>
            <w:r>
              <w:rPr>
                <w:b w:val="false"/>
                <w:bCs w:val="false"/>
                <w:sz w:val="20"/>
                <w:szCs w:val="20"/>
              </w:rPr>
              <w:t xml:space="preserve">Limpiar y vincular la totalidad de los datos históricos acumulados en Airdesk implica un esfuerzo considerable por el volumen y la heterogeneidad de la información, con un impacto menor al de simplemente estandarizar el registro hacia adelante (P2). Se prioriza resolver primero el flujo futuro antes que “reparar” todo el pasado.</w:t>
            </w:r>
          </w:p>
        </w:tc>
      </w:tr>
    </w:tbl>
    <w:p>
      <w:pPr>
        <w:spacing w:after="160" w:line="276"/>
      </w:pPr>
      <w:r>
        <w:rPr>
          <w:b w:val="false"/>
          <w:bCs w:val="false"/>
          <w:i w:val="false"/>
          <w:iCs w:val="false"/>
          <w:sz w:val="21"/>
          <w:szCs w:val="21"/>
        </w:rPr>
        <w:t xml:space="preserve"/>
      </w:r>
    </w:p>
    <w:p>
      <w:pPr>
        <w:pStyle w:val="Heading1"/>
        <w:spacing w:after="160" w:before="320"/>
      </w:pPr>
      <w:r>
        <w:rPr>
          <w:b/>
          <w:bCs/>
          <w:color w:val="0E4E4A"/>
        </w:rPr>
        <w:t xml:space="preserve">3. Rediseño TO-BE</w:t>
      </w:r>
    </w:p>
    <w:p>
      <w:pPr>
        <w:spacing w:after="160" w:line="276"/>
      </w:pPr>
      <w:r>
        <w:rPr>
          <w:b w:val="false"/>
          <w:bCs w:val="false"/>
          <w:i w:val="false"/>
          <w:iCs w:val="false"/>
          <w:sz w:val="21"/>
          <w:szCs w:val="21"/>
        </w:rPr>
        <w:t xml:space="preserve">Se rediseñan tres etapas del proceso AS-IS de Prestación de Servicio y Facturación relevado en la Entrega 1 —Presupuestación, Ejecución y registro en campo, y Control de calidad y Facturación—, indicando en cada caso el principio ESIA (Eliminar, Simplificar, Integrar, Automatizar) aplicado.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9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Proceso</w:t>
            </w:r>
          </w:p>
        </w:tc>
        <w:tc>
          <w:tcPr>
            <w:tcW w:type="dxa" w:w="26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AS-IS</w:t>
            </w:r>
          </w:p>
        </w:tc>
        <w:tc>
          <w:tcPr>
            <w:tcW w:type="dxa" w:w="355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TO-BE</w:t>
            </w:r>
          </w:p>
        </w:tc>
        <w:tc>
          <w:tcPr>
            <w:tcW w:type="dxa" w:w="13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Principio ESIA</w:t>
            </w:r>
          </w:p>
        </w:tc>
      </w:tr>
      <w:tr>
        <w:tc>
          <w:tcPr>
            <w:tcW w:type="dxa" w:w="19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1. Presupuestación
(Etapas 3-4)</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Relevamiento técnico con notas libres; mano de obra estimada “a ojo” por el dueño.</w:t>
            </w:r>
          </w:p>
        </w:tc>
        <w:tc>
          <w:tcPr>
            <w:tcW w:type="dxa" w:w="35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El relevamiento se registra en un formulario digital estandarizado (materiales + horas estimadas).</w:t>
            </w:r>
          </w:p>
          <w:p>
            <w:pPr>
              <w:spacing w:after="60"/>
            </w:pPr>
            <w:r>
              <w:rPr>
                <w:b w:val="false"/>
                <w:bCs w:val="false"/>
                <w:sz w:val="20"/>
                <w:szCs w:val="20"/>
              </w:rPr>
              <w:t xml:space="preserve">El sistema sugiere automáticamente una estimación de horas según proyectos históricos similares.</w:t>
            </w:r>
          </w:p>
          <w:p>
            <w:pPr>
              <w:spacing w:after="60"/>
            </w:pPr>
            <w:r>
              <w:rPr>
                <w:b w:val="false"/>
                <w:bCs w:val="false"/>
                <w:sz w:val="20"/>
                <w:szCs w:val="20"/>
              </w:rPr>
              <w:t xml:space="preserve">El dueño define el presupuesto final apoyado en un panel con el costo histórico real de mano de obra, en lugar de estimar solo “a ojo”.</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Simplificar + Integrar + Automatizar</w:t>
            </w:r>
          </w:p>
        </w:tc>
      </w:tr>
      <w:tr>
        <w:tc>
          <w:tcPr>
            <w:tcW w:type="dxa" w:w="19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2. Ejecución y registro en campo
(Etapa 7)</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Los técnicos ejecutan el trabajo y reportan lo realizado de manera informal y posterior (verbal, WhatsApp).</w:t>
            </w:r>
          </w:p>
        </w:tc>
        <w:tc>
          <w:tcPr>
            <w:tcW w:type="dxa" w:w="35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Se elimina el reporte informal posterior.</w:t>
            </w:r>
          </w:p>
          <w:p>
            <w:pPr>
              <w:spacing w:after="60"/>
            </w:pPr>
            <w:r>
              <w:rPr>
                <w:b w:val="false"/>
                <w:bCs w:val="false"/>
                <w:sz w:val="20"/>
                <w:szCs w:val="20"/>
              </w:rPr>
              <w:t xml:space="preserve">Los técnicos cargan horas y materiales al finalizar cada visita en un formulario digital corto, con horario registrado automáticamente.</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Eliminar + Simplificar + Automatizar</w:t>
            </w:r>
          </w:p>
        </w:tc>
      </w:tr>
      <w:tr>
        <w:tc>
          <w:tcPr>
            <w:tcW w:type="dxa" w:w="19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3. Control de calidad y Facturación
(Etapas 8-9)</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Administración reconstruye manualmente materiales y horas utilizados para cruzarlos contra el presupuesto original.</w:t>
            </w:r>
          </w:p>
        </w:tc>
        <w:tc>
          <w:tcPr>
            <w:tcW w:type="dxa" w:w="35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Se elimina la reconstrucción manual, ya que los datos llegan estructurados desde la etapa anterior.</w:t>
            </w:r>
          </w:p>
          <w:p>
            <w:pPr>
              <w:spacing w:after="60"/>
            </w:pPr>
            <w:r>
              <w:rPr>
                <w:b w:val="false"/>
                <w:bCs w:val="false"/>
                <w:sz w:val="20"/>
                <w:szCs w:val="20"/>
              </w:rPr>
              <w:t xml:space="preserve">El sistema cruza automáticamente lo presupuestado contra lo real y solo señala discrepancias.</w:t>
            </w:r>
          </w:p>
          <w:p>
            <w:pPr>
              <w:spacing w:after="60"/>
            </w:pPr>
            <w:r>
              <w:rPr>
                <w:b w:val="false"/>
                <w:bCs w:val="false"/>
                <w:sz w:val="20"/>
                <w:szCs w:val="20"/>
              </w:rPr>
              <w:t xml:space="preserve">Administración revisa exclusivamente las alertas, no la totalidad del proceso.</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Eliminar + Automatizar + Simplificar</w:t>
            </w:r>
          </w:p>
        </w:tc>
      </w:tr>
    </w:tbl>
    <w:p>
      <w:pPr>
        <w:spacing w:after="160" w:line="276"/>
      </w:pPr>
      <w:r>
        <w:rPr>
          <w:b w:val="false"/>
          <w:bCs w:val="false"/>
          <w:i w:val="false"/>
          <w:iCs w:val="false"/>
          <w:sz w:val="21"/>
          <w:szCs w:val="21"/>
        </w:rPr>
        <w:t xml:space="preserve"/>
      </w:r>
    </w:p>
    <w:p>
      <w:pPr>
        <w:spacing w:after="160" w:line="276"/>
      </w:pPr>
      <w:r>
        <w:rPr>
          <w:b w:val="false"/>
          <w:bCs w:val="false"/>
          <w:i w:val="false"/>
          <w:iCs w:val="false"/>
          <w:sz w:val="21"/>
          <w:szCs w:val="21"/>
        </w:rPr>
        <w:t xml:space="preserve">En los tres casos, el dueño conserva su rol de decisión final sobre el presupuesto; lo que cambia es la calidad y disponibilidad de la información sobre la que decide, reduciendo la dependencia exclusiva de su criterio subjetivo (vinculado a P1 y P5) sin eliminar su experiencia del proceso.</w:t>
      </w:r>
    </w:p>
    <w:p>
      <w:pPr>
        <w:pStyle w:val="Heading1"/>
        <w:spacing w:after="160" w:before="320"/>
      </w:pPr>
      <w:r>
        <w:rPr>
          <w:b/>
          <w:bCs/>
          <w:color w:val="0E4E4A"/>
        </w:rPr>
        <w:t xml:space="preserve">4. Para Traer a Clase</w:t>
      </w:r>
    </w:p>
    <w:p>
      <w:pPr>
        <w:pStyle w:val="ListParagraph"/>
        <w:numPr>
          <w:ilvl w:val="0"/>
          <w:numId w:val="1"/>
        </w:numPr>
        <w:spacing w:after="100" w:line="276"/>
      </w:pPr>
      <w:r>
        <w:rPr>
          <w:sz w:val="21"/>
          <w:szCs w:val="21"/>
        </w:rPr>
        <w:t xml:space="preserve"/>
      </w:r>
      <w:r>
        <w:rPr>
          <w:sz w:val="21"/>
          <w:szCs w:val="21"/>
        </w:rPr>
        <w:t xml:space="preserve">Avance escrito: el presente documento, con los problemas y oportunidades priorizados (Sección 2) y el rediseño TO-BE de los tres procesos (Sección 3).</w:t>
      </w:r>
    </w:p>
    <w:p>
      <w:pPr>
        <w:pStyle w:val="ListParagraph"/>
        <w:numPr>
          <w:ilvl w:val="0"/>
          <w:numId w:val="1"/>
        </w:numPr>
        <w:spacing w:after="100" w:line="276"/>
      </w:pPr>
      <w:r>
        <w:rPr>
          <w:sz w:val="21"/>
          <w:szCs w:val="21"/>
        </w:rPr>
        <w:t xml:space="preserve"/>
      </w:r>
      <w:r>
        <w:rPr>
          <w:sz w:val="21"/>
          <w:szCs w:val="21"/>
        </w:rPr>
        <w:t xml:space="preserve">Dudas puntuales para consultar en clase (máximo 2):</w:t>
      </w:r>
    </w:p>
    <w:p>
      <w:pPr>
        <w:pStyle w:val="ListParagraph"/>
        <w:numPr>
          <w:ilvl w:val="1"/>
          <w:numId w:val="1"/>
        </w:numPr>
        <w:spacing w:after="80" w:line="276"/>
      </w:pPr>
      <w:r>
        <w:rPr>
          <w:i/>
          <w:iCs/>
          <w:sz w:val="20"/>
          <w:szCs w:val="20"/>
        </w:rPr>
        <w:t xml:space="preserve">¿Qué nivel de precisión se espera en la estimación de horas por tipo de proyecto para la Entrega 3, considerando que aún no se cuenta con datos históricos limpios (P4, cuadrante “postergar”)?</w:t>
      </w:r>
    </w:p>
    <w:p>
      <w:pPr>
        <w:pStyle w:val="ListParagraph"/>
        <w:numPr>
          <w:ilvl w:val="1"/>
          <w:numId w:val="1"/>
        </w:numPr>
        <w:spacing w:after="80" w:line="276"/>
      </w:pPr>
      <w:r>
        <w:rPr>
          <w:i/>
          <w:iCs/>
          <w:sz w:val="20"/>
          <w:szCs w:val="20"/>
        </w:rPr>
        <w:t xml:space="preserve">Para el TO-BE, ¿conviene proponer el desarrollo de una herramienta nueva o priorizar la adaptación de Airdesk, dado el tiempo y presupuesto acotados del TPI?</w:t>
      </w:r>
    </w:p>
    <w:p>
      <w:pPr>
        <w:pBdr>
          <w:top w:val="single" w:color="1F6F6B" w:sz="6"/>
        </w:pBdr>
        <w:spacing w:before="400"/>
      </w:pPr>
    </w:p>
    <w:p>
      <w:pPr>
        <w:spacing w:before="200"/>
      </w:pPr>
      <w:r>
        <w:rPr>
          <w:b/>
          <w:bCs/>
          <w:color w:val="1F6F6B"/>
          <w:sz w:val="20"/>
          <w:szCs w:val="20"/>
        </w:rPr>
        <w:t xml:space="preserve">Recordá: </w:t>
      </w:r>
      <w:r>
        <w:rPr>
          <w:i/>
          <w:iCs/>
          <w:sz w:val="20"/>
          <w:szCs w:val="20"/>
        </w:rPr>
        <w:t xml:space="preserve">no se espera perfección; se espera razonar y decidir con la información disponible, como cualquier consultor real.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2026-09-10T20:19:21.610Z</dcterms:created>
  <dcterms:modified xsi:type="dcterms:W3CDTF">2026-09-10T20:19:21.610Z</dcterms:modified>
</cp:coreProperties>
</file>

<file path=docProps/custom.xml><?xml version="1.0" encoding="utf-8"?>
<Properties xmlns="http://schemas.openxmlformats.org/officeDocument/2006/custom-properties" xmlns:vt="http://schemas.openxmlformats.org/officeDocument/2006/docPropsVTypes"/>
</file>