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0A32BF">
        <w:fldChar w:fldCharType="begin"/>
      </w:r>
      <w:r w:rsidR="000A32BF">
        <w:instrText xml:space="preserve"> HYPERLINK \l "_Toc414355623" </w:instrText>
      </w:r>
      <w:r w:rsidR="000A32BF">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0A32BF">
        <w:fldChar w:fldCharType="end"/>
      </w:r>
    </w:p>
    <w:p w:rsidR="00CC02C4" w:rsidRDefault="000A32BF">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0A32BF">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A32BF">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0A32BF">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lastRenderedPageBreak/>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0A32BF">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Pr>
            <w:rStyle w:val="Lienhypertexte"/>
          </w:rPr>
          <w:t xml:space="preserve">tion, de maintenance </w:t>
        </w:r>
        <w:bookmarkStart w:id="1" w:name="_GoBack"/>
        <w:bookmarkEnd w:id="1"/>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0A32BF">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0A32BF">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2"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2"/>
      <w:r w:rsidR="00DE11E0" w:rsidRPr="00E84033">
        <w:rPr>
          <w:rFonts w:asciiTheme="minorHAnsi" w:hAnsiTheme="minorHAnsi"/>
          <w:sz w:val="28"/>
        </w:rPr>
        <w:t xml:space="preserve"> </w:t>
      </w:r>
      <w:bookmarkStart w:id="3" w:name="_Toc413660631"/>
      <w:bookmarkStart w:id="4" w:name="_Toc413660905"/>
    </w:p>
    <w:p w:rsidR="00C06BDB" w:rsidRPr="00E84033" w:rsidRDefault="00DE11E0" w:rsidP="00C06BDB">
      <w:pPr>
        <w:pStyle w:val="Titre2"/>
        <w:numPr>
          <w:ilvl w:val="1"/>
          <w:numId w:val="8"/>
        </w:numPr>
        <w:rPr>
          <w:rFonts w:asciiTheme="minorHAnsi" w:hAnsiTheme="minorHAnsi"/>
          <w:sz w:val="24"/>
          <w:szCs w:val="24"/>
        </w:rPr>
      </w:pPr>
      <w:bookmarkStart w:id="5" w:name="_Toc414355624"/>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Default="00DE11E0" w:rsidP="00C06BDB">
      <w:pPr>
        <w:pStyle w:val="Titre3"/>
        <w:numPr>
          <w:ilvl w:val="2"/>
          <w:numId w:val="8"/>
        </w:numPr>
        <w:rPr>
          <w:rFonts w:asciiTheme="minorHAnsi" w:hAnsiTheme="minorHAnsi"/>
          <w:i/>
          <w:sz w:val="20"/>
          <w:szCs w:val="20"/>
        </w:rPr>
      </w:pPr>
      <w:bookmarkStart w:id="8" w:name="_Toc414355625"/>
      <w:r w:rsidRPr="00E84033">
        <w:rPr>
          <w:rFonts w:asciiTheme="minorHAnsi" w:hAnsiTheme="minorHAnsi"/>
          <w:i/>
          <w:sz w:val="20"/>
          <w:szCs w:val="20"/>
        </w:rPr>
        <w:t>Finalité</w:t>
      </w:r>
      <w:bookmarkStart w:id="9" w:name="_Toc413660633"/>
      <w:bookmarkStart w:id="10" w:name="_Toc413660907"/>
      <w:bookmarkEnd w:id="6"/>
      <w:bookmarkEnd w:id="7"/>
      <w:bookmarkEnd w:id="8"/>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1" w:name="_Toc414355626"/>
      <w:r w:rsidRPr="00E84033">
        <w:rPr>
          <w:rFonts w:asciiTheme="minorHAnsi" w:hAnsiTheme="minorHAnsi"/>
          <w:i/>
          <w:sz w:val="20"/>
          <w:szCs w:val="20"/>
        </w:rPr>
        <w:t>Espérance de retour sur investissement</w:t>
      </w:r>
      <w:bookmarkStart w:id="12" w:name="_Toc413660634"/>
      <w:bookmarkStart w:id="13" w:name="_Toc413660908"/>
      <w:bookmarkEnd w:id="9"/>
      <w:bookmarkEnd w:id="10"/>
      <w:bookmarkEnd w:id="11"/>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4" w:name="_Toc414355627"/>
      <w:r w:rsidRPr="00E84033">
        <w:rPr>
          <w:rFonts w:asciiTheme="minorHAnsi" w:hAnsiTheme="minorHAnsi"/>
          <w:sz w:val="24"/>
          <w:szCs w:val="24"/>
        </w:rPr>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355628"/>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355630"/>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355631"/>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355632"/>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355633"/>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355634"/>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355635"/>
      <w:r w:rsidRPr="00E84033">
        <w:rPr>
          <w:rFonts w:asciiTheme="minorHAnsi" w:hAnsiTheme="minorHAnsi"/>
          <w:sz w:val="24"/>
          <w:szCs w:val="24"/>
        </w:rPr>
        <w:lastRenderedPageBreak/>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355636"/>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355637"/>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355638"/>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355639"/>
      <w:r w:rsidRPr="00E84033">
        <w:rPr>
          <w:rFonts w:asciiTheme="minorHAnsi" w:hAnsiTheme="minorHAnsi"/>
          <w:sz w:val="28"/>
        </w:rPr>
        <w:lastRenderedPageBreak/>
        <w:t>Expression fonctionnelle du besoin Diagramme de cas d’utilisation</w:t>
      </w:r>
      <w:bookmarkStart w:id="52" w:name="_Toc413660921"/>
      <w:bookmarkEnd w:id="49"/>
      <w:bookmarkEnd w:id="50"/>
      <w:bookmarkEnd w:id="51"/>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C4" w:rsidRDefault="00CC02C4" w:rsidP="00DE11E0">
      <w:pPr>
        <w:spacing w:after="0" w:line="240" w:lineRule="auto"/>
      </w:pPr>
      <w:r>
        <w:separator/>
      </w:r>
    </w:p>
  </w:endnote>
  <w:endnote w:type="continuationSeparator" w:id="0">
    <w:p w:rsidR="00CC02C4" w:rsidRDefault="00CC02C4"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CC02C4">
      <w:trPr>
        <w:trHeight w:val="151"/>
      </w:trPr>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val="restart"/>
          <w:noWrap/>
          <w:vAlign w:val="center"/>
        </w:tcPr>
        <w:p w:rsidR="00CC02C4" w:rsidRPr="00F51D2F" w:rsidRDefault="00CC02C4"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0A32BF" w:rsidRPr="000A32BF">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r>
    <w:tr w:rsidR="00CC02C4">
      <w:trPr>
        <w:trHeight w:val="150"/>
      </w:trPr>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tcPr>
        <w:p w:rsidR="00CC02C4" w:rsidRDefault="00CC02C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r>
  </w:tbl>
  <w:p w:rsidR="00CC02C4" w:rsidRDefault="00CC02C4"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C4" w:rsidRDefault="00CC02C4" w:rsidP="00DE11E0">
      <w:pPr>
        <w:spacing w:after="0" w:line="240" w:lineRule="auto"/>
      </w:pPr>
      <w:r>
        <w:separator/>
      </w:r>
    </w:p>
  </w:footnote>
  <w:footnote w:type="continuationSeparator" w:id="0">
    <w:p w:rsidR="00CC02C4" w:rsidRDefault="00CC02C4"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CC02C4"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CC02C4" w:rsidRDefault="00CC02C4">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CC02C4" w:rsidRDefault="00CC02C4">
          <w:pPr>
            <w:pStyle w:val="En-tte"/>
          </w:pPr>
        </w:p>
      </w:tc>
    </w:tr>
    <w:tr w:rsidR="00CC02C4" w:rsidRPr="00DE11E0"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CC02C4" w:rsidRDefault="00CC02C4">
          <w:pPr>
            <w:pStyle w:val="En-tte"/>
          </w:pPr>
          <w:r>
            <w:t>Mastermind</w:t>
          </w:r>
        </w:p>
        <w:p w:rsidR="00CC02C4" w:rsidRDefault="00CC02C4">
          <w:pPr>
            <w:pStyle w:val="En-tte"/>
          </w:pPr>
        </w:p>
      </w:tc>
    </w:tr>
    <w:tr w:rsidR="00CC02C4" w:rsidRPr="00DE11E0"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CC02C4" w:rsidRDefault="00D61411">
          <w:pPr>
            <w:pStyle w:val="En-tte"/>
          </w:pPr>
          <w:r>
            <w:fldChar w:fldCharType="begin"/>
          </w:r>
          <w:r>
            <w:instrText xml:space="preserve"> TIME \@ "dd/MM/yyyy" </w:instrText>
          </w:r>
          <w:r>
            <w:fldChar w:fldCharType="separate"/>
          </w:r>
          <w:r>
            <w:rPr>
              <w:noProof/>
            </w:rPr>
            <w:t>20/03/2015</w:t>
          </w:r>
          <w:r>
            <w:fldChar w:fldCharType="end"/>
          </w:r>
        </w:p>
      </w:tc>
    </w:tr>
    <w:tr w:rsidR="00CC02C4"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CC02C4" w:rsidRDefault="00CC02C4">
          <w:pPr>
            <w:pStyle w:val="En-tte"/>
          </w:pPr>
          <w:r>
            <w:t>1.0</w:t>
          </w:r>
        </w:p>
        <w:p w:rsidR="00CC02C4" w:rsidRDefault="00CC02C4">
          <w:pPr>
            <w:pStyle w:val="En-tte"/>
          </w:pPr>
        </w:p>
      </w:tc>
    </w:tr>
  </w:tbl>
  <w:p w:rsidR="00CC02C4" w:rsidRDefault="00CC02C4">
    <w:pPr>
      <w:pStyle w:val="En-tte"/>
    </w:pPr>
  </w:p>
  <w:p w:rsidR="00CC02C4" w:rsidRDefault="00CC02C4">
    <w:pPr>
      <w:pStyle w:val="En-tte"/>
    </w:pPr>
  </w:p>
  <w:p w:rsidR="00CC02C4" w:rsidRDefault="00CC02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61411"/>
    <w:rsid w:val="00DE11E0"/>
    <w:rsid w:val="00E16B96"/>
    <w:rsid w:val="00E84033"/>
    <w:rsid w:val="00F51D2F"/>
    <w:rsid w:val="00F63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88623-6693-48A0-A260-24CE5146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1618</Words>
  <Characters>8899</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14</cp:revision>
  <cp:lastPrinted>2015-03-17T11:13:00Z</cp:lastPrinted>
  <dcterms:created xsi:type="dcterms:W3CDTF">2015-03-09T09:00:00Z</dcterms:created>
  <dcterms:modified xsi:type="dcterms:W3CDTF">2015-03-20T12:45:00Z</dcterms:modified>
</cp:coreProperties>
</file>