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8"/>
          <w:szCs w:val="18"/>
          <w:shd w:val="clear" w:fill="FFFFFF"/>
        </w:rPr>
        <w:t>http://www.fs.com/de/specials/40g-100g-migration-99.html</w:t>
      </w:r>
    </w:p>
    <w:p>
      <w:pPr>
        <w:rPr>
          <w:rFonts w:hint="default" w:hAnsi="SimSun" w:eastAsia="SimSun" w:cs="SimSun" w:asciiTheme="minorAscii"/>
          <w:sz w:val="21"/>
          <w:szCs w:val="21"/>
          <w:lang w:val="de-DE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default" w:asciiTheme="minorAscii"/>
          <w:b/>
          <w:bCs/>
          <w:sz w:val="21"/>
          <w:szCs w:val="21"/>
          <w:lang w:val="en-GB"/>
        </w:rPr>
        <w:t>40G/100G-Migration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Unterstützung für schnell wachsende Netzwerkanforderungen mit mehr Geschwindigkeit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Überblick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  <w:lang w:val="en-GB"/>
        </w:rPr>
        <w:t>Um den höheren Netzwerkbedarf der wachsenden Zahl von Internetnutzern zu decken, haben viele Rechenzentren Zugangsnetzwerke auf 10G/25G und Aggregationsnetzwerke auf 40G/100G migriert. So soll eine großflächige Bereitstellung von Rechenzentren gewährleistet werden.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Die Leaf-Spine-Topologie wird zum Industriestandard für Netzwerktopologien. Der Leaf-Layer verbindet Server und Speicher, während der Spine-Layer die Leaf-Layer verbindet. In Kombination wird somit der Platzbedarf reduziert.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Höhere Bandbreite</w:t>
      </w:r>
    </w:p>
    <w:p>
      <w:pPr>
        <w:rPr>
          <w:rFonts w:hAnsi="Arial" w:eastAsia="Arial" w:cs="Arial" w:asciiTheme="minorAscii"/>
          <w:i/>
          <w:iCs/>
          <w:caps w:val="0"/>
          <w:color w:val="232323"/>
          <w:spacing w:val="0"/>
          <w:sz w:val="21"/>
          <w:szCs w:val="21"/>
          <w:shd w:val="clear" w:fill="FFFFFF"/>
        </w:rPr>
      </w:pPr>
      <w:r>
        <w:rPr>
          <w:rFonts w:hint="default" w:hAnsi="Arial" w:eastAsia="Arial" w:asciiTheme="minorAscii"/>
          <w:i/>
          <w:iCs/>
          <w:caps w:val="0"/>
          <w:color w:val="232323"/>
          <w:spacing w:val="0"/>
          <w:sz w:val="21"/>
          <w:szCs w:val="21"/>
          <w:shd w:val="clear" w:fill="FFFFFF"/>
        </w:rPr>
        <w:t>Erweiterung des Netzwerks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Vereinfachte Verkabelung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Flexible Bereitstellung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40G/100G-Migration: Typische Anwendung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10G-40G-Migration: Verkabelungslösung mit Glasfasergehäuse und Base-8 Breakout-Kassetten.</w:t>
      </w:r>
    </w:p>
    <w:p>
      <w:p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</w:rPr>
        <w:t>25G-100G-Migration: Verkabelungslösung mit Glasfasergehäuse und Base-8 Breakout-Kassetten.</w:t>
      </w: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</w:rPr>
        <w:t>100G</w:t>
      </w:r>
      <w:r>
        <w:rPr>
          <w:rFonts w:hint="default" w:asciiTheme="minorAscii"/>
          <w:sz w:val="21"/>
          <w:szCs w:val="21"/>
          <w:lang w:val="en-GB"/>
        </w:rPr>
        <w:t>-</w:t>
      </w:r>
      <w:r>
        <w:rPr>
          <w:rFonts w:hint="eastAsia" w:asciiTheme="minorAscii"/>
          <w:sz w:val="21"/>
          <w:szCs w:val="21"/>
        </w:rPr>
        <w:t>Interconnect</w:t>
      </w:r>
      <w:r>
        <w:rPr>
          <w:rFonts w:hint="default" w:asciiTheme="minorAscii"/>
          <w:sz w:val="21"/>
          <w:szCs w:val="21"/>
          <w:lang w:val="en-GB"/>
        </w:rPr>
        <w:t>-</w:t>
      </w:r>
      <w:r>
        <w:rPr>
          <w:rFonts w:hint="eastAsia" w:asciiTheme="minorAscii"/>
          <w:sz w:val="21"/>
          <w:szCs w:val="21"/>
        </w:rPr>
        <w:t>Verkabelungslösung mit Glasfasergehäusen und FAPs.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</w:p>
    <w:p>
      <w:pPr>
        <w:rPr>
          <w:rFonts w:hint="default" w:asciiTheme="minorAscii"/>
          <w:sz w:val="21"/>
          <w:szCs w:val="21"/>
          <w:lang w:val="en-GB"/>
        </w:rPr>
      </w:pPr>
      <w:r>
        <w:rPr>
          <w:rFonts w:hint="default" w:asciiTheme="minorAscii"/>
          <w:b/>
          <w:bCs/>
          <w:sz w:val="21"/>
          <w:szCs w:val="21"/>
          <w:lang w:val="en-GB"/>
        </w:rPr>
        <w:t xml:space="preserve">Lösungen für </w:t>
      </w:r>
      <w:r>
        <w:rPr>
          <w:rFonts w:hint="eastAsia" w:asciiTheme="minorAscii"/>
          <w:b/>
          <w:bCs/>
          <w:sz w:val="21"/>
          <w:szCs w:val="21"/>
        </w:rPr>
        <w:t>40G/100G-Migration</w:t>
      </w:r>
      <w:r>
        <w:rPr>
          <w:rFonts w:hint="default" w:asciiTheme="minorAscii"/>
          <w:b/>
          <w:bCs/>
          <w:sz w:val="21"/>
          <w:szCs w:val="21"/>
          <w:lang w:val="en-GB"/>
        </w:rPr>
        <w:t xml:space="preserve">: </w:t>
      </w:r>
      <w:r>
        <w:rPr>
          <w:rFonts w:hint="eastAsia" w:asciiTheme="minorAscii"/>
          <w:b/>
          <w:bCs/>
          <w:sz w:val="21"/>
          <w:szCs w:val="21"/>
        </w:rPr>
        <w:t>Produktportfoli</w:t>
      </w:r>
      <w:r>
        <w:rPr>
          <w:rFonts w:hint="default" w:asciiTheme="minorAscii"/>
          <w:b/>
          <w:bCs/>
          <w:sz w:val="21"/>
          <w:szCs w:val="21"/>
          <w:lang w:val="en-GB"/>
        </w:rPr>
        <w:t>o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MTP/MPO</w:t>
      </w:r>
      <w:r>
        <w:rPr>
          <w:rFonts w:hint="default" w:asciiTheme="minorAscii"/>
          <w:i/>
          <w:iCs/>
          <w:sz w:val="21"/>
          <w:szCs w:val="21"/>
          <w:lang w:val="en-GB"/>
        </w:rPr>
        <w:t>-</w:t>
      </w:r>
      <w:r>
        <w:rPr>
          <w:rFonts w:hint="eastAsia" w:asciiTheme="minorAscii"/>
          <w:i/>
          <w:iCs/>
          <w:sz w:val="21"/>
          <w:szCs w:val="21"/>
        </w:rPr>
        <w:t>Trunkkabel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default" w:asciiTheme="minorAscii"/>
          <w:sz w:val="21"/>
          <w:szCs w:val="21"/>
          <w:lang w:val="en-GB"/>
        </w:rPr>
        <w:t>Unterstützung für Übertragungen mit kurzen und langen Reichweiten. Wird bei der Bereitstellung von Netzwerken mit hoher Dichte und starken Biegeeigenschaften eingesetzt.</w:t>
      </w:r>
    </w:p>
    <w:p>
      <w:pPr>
        <w:rPr>
          <w:rFonts w:hint="eastAsia" w:asciiTheme="minorAscii"/>
          <w:i/>
          <w:iCs/>
          <w:sz w:val="21"/>
          <w:szCs w:val="21"/>
        </w:rPr>
      </w:pPr>
    </w:p>
    <w:p>
      <w:pPr>
        <w:rPr>
          <w:rFonts w:hint="default" w:asciiTheme="minorAscii"/>
          <w:sz w:val="21"/>
          <w:szCs w:val="21"/>
          <w:lang w:val="en-GB"/>
        </w:rPr>
      </w:pPr>
      <w:r>
        <w:rPr>
          <w:rFonts w:hint="eastAsia" w:asciiTheme="minorAscii"/>
          <w:i/>
          <w:iCs/>
          <w:sz w:val="21"/>
          <w:szCs w:val="21"/>
        </w:rPr>
        <w:t>FHX MTP</w:t>
      </w:r>
      <w:r>
        <w:rPr>
          <w:rFonts w:hint="default" w:asciiTheme="minorAscii"/>
          <w:i/>
          <w:iCs/>
          <w:sz w:val="21"/>
          <w:szCs w:val="21"/>
          <w:lang w:val="en-GB"/>
        </w:rPr>
        <w:t>-Kassetten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Wählen Sie eine strukturierte und verwaltbare Verkabelungslösung, die bei der Migration von 10G auf 40G, 25G auf 100G sehr verbreitet ist.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FHX MTP</w:t>
      </w:r>
      <w:r>
        <w:rPr>
          <w:rFonts w:hint="default" w:asciiTheme="minorAscii"/>
          <w:i/>
          <w:iCs/>
          <w:sz w:val="21"/>
          <w:szCs w:val="21"/>
          <w:lang w:val="en-GB"/>
        </w:rPr>
        <w:t>-</w:t>
      </w:r>
      <w:r>
        <w:rPr>
          <w:rFonts w:hint="eastAsia" w:asciiTheme="minorAscii"/>
          <w:i/>
          <w:iCs/>
          <w:sz w:val="21"/>
          <w:szCs w:val="21"/>
        </w:rPr>
        <w:t>TAPs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Verbessern Sie das Mesh-Netzwerk mit ultrahochdichten Panels, um die horizontale und Backbone-Verkabelung überschaubar und sicher zu halten.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default" w:asciiTheme="minorAscii"/>
          <w:sz w:val="21"/>
          <w:szCs w:val="21"/>
          <w:lang w:val="en-GB"/>
        </w:rPr>
      </w:pPr>
      <w:r>
        <w:rPr>
          <w:rFonts w:hint="eastAsia" w:asciiTheme="minorAscii"/>
          <w:i/>
          <w:iCs/>
          <w:sz w:val="21"/>
          <w:szCs w:val="21"/>
        </w:rPr>
        <w:t>FHX Ultra</w:t>
      </w:r>
      <w:r>
        <w:rPr>
          <w:rFonts w:hint="default" w:asciiTheme="minorAscii"/>
          <w:i/>
          <w:iCs/>
          <w:sz w:val="21"/>
          <w:szCs w:val="21"/>
          <w:lang w:val="en-GB"/>
        </w:rPr>
        <w:t>-</w:t>
      </w:r>
      <w:r>
        <w:rPr>
          <w:rFonts w:hint="eastAsia" w:asciiTheme="minorAscii"/>
          <w:i/>
          <w:iCs/>
          <w:sz w:val="21"/>
          <w:szCs w:val="21"/>
        </w:rPr>
        <w:t>HD</w:t>
      </w:r>
      <w:r>
        <w:rPr>
          <w:rFonts w:hint="default" w:asciiTheme="minorAscii"/>
          <w:i/>
          <w:iCs/>
          <w:sz w:val="21"/>
          <w:szCs w:val="21"/>
          <w:lang w:val="en-GB"/>
        </w:rPr>
        <w:t>-Gehäuse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1HE Platz und maximale Kapazität von 144 Fasern. Verstellbare Schienen tragen sowohl modulare Base8- als auch Base12-Komponenten.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  <w:lang w:val="en-GB"/>
        </w:rPr>
      </w:pPr>
      <w:r>
        <w:rPr>
          <w:rFonts w:hint="eastAsia" w:asciiTheme="minorAscii"/>
          <w:i/>
          <w:iCs/>
          <w:sz w:val="21"/>
          <w:szCs w:val="21"/>
        </w:rPr>
        <w:t>Ultra</w:t>
      </w:r>
      <w:r>
        <w:rPr>
          <w:rFonts w:hint="default" w:asciiTheme="minorAscii"/>
          <w:i/>
          <w:iCs/>
          <w:sz w:val="21"/>
          <w:szCs w:val="21"/>
          <w:lang w:val="en-GB"/>
        </w:rPr>
        <w:t>-</w:t>
      </w:r>
      <w:r>
        <w:rPr>
          <w:rFonts w:hint="eastAsia" w:asciiTheme="minorAscii"/>
          <w:i/>
          <w:iCs/>
          <w:sz w:val="21"/>
          <w:szCs w:val="21"/>
        </w:rPr>
        <w:t>HD</w:t>
      </w:r>
      <w:r>
        <w:rPr>
          <w:rFonts w:hint="default" w:asciiTheme="minorAscii"/>
          <w:i/>
          <w:iCs/>
          <w:sz w:val="21"/>
          <w:szCs w:val="21"/>
          <w:lang w:val="en-GB"/>
        </w:rPr>
        <w:t>-</w:t>
      </w:r>
      <w:r>
        <w:rPr>
          <w:rFonts w:hint="eastAsia" w:asciiTheme="minorAscii"/>
          <w:i/>
          <w:iCs/>
          <w:sz w:val="21"/>
          <w:szCs w:val="21"/>
        </w:rPr>
        <w:t xml:space="preserve">Uniboot </w:t>
      </w:r>
      <w:r>
        <w:rPr>
          <w:rFonts w:hint="default" w:asciiTheme="minorAscii"/>
          <w:i/>
          <w:iCs/>
          <w:sz w:val="21"/>
          <w:szCs w:val="21"/>
          <w:lang w:val="en-GB"/>
        </w:rPr>
        <w:t>Kabel</w:t>
      </w:r>
    </w:p>
    <w:p>
      <w:p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</w:rPr>
        <w:t>Reduzieren Sie die Kabelstauung und -dämpfung bei der Kabelführung durch Uniboot, niedriger IL- und Rückflussdämpfung. Geeignet für Ultra-High-Density-Patching.</w:t>
      </w:r>
    </w:p>
    <w:p>
      <w:pPr>
        <w:rPr>
          <w:rFonts w:hint="eastAsia" w:asciiTheme="minorAscii"/>
          <w:sz w:val="21"/>
          <w:szCs w:val="21"/>
          <w:lang w:val="en-US" w:eastAsia="zh-CN"/>
        </w:rPr>
      </w:pPr>
    </w:p>
    <w:p>
      <w:pPr>
        <w:rPr>
          <w:rFonts w:hint="eastAsia" w:asciiTheme="minorAscii"/>
          <w:i/>
          <w:iCs/>
          <w:sz w:val="21"/>
          <w:szCs w:val="21"/>
          <w:lang w:val="en-US" w:eastAsia="zh-CN"/>
        </w:rPr>
      </w:pPr>
      <w:r>
        <w:rPr>
          <w:rFonts w:hint="eastAsia" w:asciiTheme="minorAscii"/>
          <w:i/>
          <w:iCs/>
          <w:sz w:val="21"/>
          <w:szCs w:val="21"/>
          <w:lang w:val="en-US" w:eastAsia="zh-CN"/>
        </w:rPr>
        <w:t>LAN-Core-Switches</w:t>
      </w:r>
    </w:p>
    <w:p>
      <w:pPr>
        <w:rPr>
          <w:rFonts w:hint="eastAsia" w:asciiTheme="minorAscii"/>
          <w:i/>
          <w:iCs/>
          <w:sz w:val="21"/>
          <w:szCs w:val="21"/>
          <w:lang w:val="en-US" w:eastAsia="zh-CN"/>
        </w:rPr>
      </w:pPr>
      <w:r>
        <w:rPr>
          <w:rFonts w:hint="eastAsia" w:asciiTheme="minorAscii"/>
          <w:i w:val="0"/>
          <w:iCs w:val="0"/>
          <w:sz w:val="21"/>
          <w:szCs w:val="21"/>
          <w:lang w:val="en-US" w:eastAsia="zh-CN"/>
        </w:rPr>
        <w:t>Entwickelt für anspruchsvolle Workloads als Core-Layer oder Spine/Aggregations-Switches in Rechenzentren.</w:t>
      </w:r>
    </w:p>
    <w:p>
      <w:pPr>
        <w:rPr>
          <w:rFonts w:hint="eastAsia" w:asciiTheme="minorAscii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Theme="minorAscii"/>
          <w:i/>
          <w:iCs/>
          <w:sz w:val="21"/>
          <w:szCs w:val="21"/>
          <w:lang w:val="en-US" w:eastAsia="zh-CN"/>
        </w:rPr>
      </w:pPr>
      <w:r>
        <w:rPr>
          <w:rFonts w:hint="default" w:asciiTheme="minorAscii"/>
          <w:i/>
          <w:iCs/>
          <w:sz w:val="21"/>
          <w:szCs w:val="21"/>
          <w:lang w:val="en-US" w:eastAsia="zh-CN"/>
        </w:rPr>
        <w:t>LAN-Verteiler-Switches</w:t>
      </w:r>
    </w:p>
    <w:p>
      <w:pPr>
        <w:rPr>
          <w:rFonts w:hint="eastAsia" w:asciiTheme="minorAscii"/>
          <w:i/>
          <w:iCs/>
          <w:sz w:val="21"/>
          <w:szCs w:val="21"/>
          <w:lang w:val="en-US" w:eastAsia="zh-CN"/>
        </w:rPr>
      </w:pPr>
      <w:r>
        <w:rPr>
          <w:rFonts w:hint="default" w:asciiTheme="minorAscii"/>
          <w:i w:val="0"/>
          <w:iCs w:val="0"/>
          <w:sz w:val="21"/>
          <w:szCs w:val="21"/>
          <w:lang w:val="en-US" w:eastAsia="zh-CN"/>
        </w:rPr>
        <w:t>Unterstützt Ports mit höherer Rate wie 10G, 40G und 100G, die nicht nur in der Aggregationsschicht, sondern auch in der Zugriffs- und Leaf-Schicht eingesetzt werden können.</w:t>
      </w:r>
    </w:p>
    <w:p>
      <w:pPr>
        <w:rPr>
          <w:rFonts w:hint="eastAsia" w:asciiTheme="minorAscii"/>
          <w:i/>
          <w:iCs/>
          <w:sz w:val="21"/>
          <w:szCs w:val="21"/>
          <w:lang w:val="en-US" w:eastAsia="zh-CN"/>
        </w:rPr>
      </w:pPr>
    </w:p>
    <w:p>
      <w:pPr>
        <w:rPr>
          <w:rFonts w:hint="default" w:asciiTheme="minorAscii"/>
          <w:i/>
          <w:iCs/>
          <w:sz w:val="21"/>
          <w:szCs w:val="21"/>
          <w:lang w:val="en-US" w:eastAsia="zh-CN"/>
        </w:rPr>
      </w:pPr>
      <w:r>
        <w:rPr>
          <w:rFonts w:hint="default" w:asciiTheme="minorAscii"/>
          <w:i/>
          <w:iCs/>
          <w:sz w:val="21"/>
          <w:szCs w:val="21"/>
          <w:lang w:val="en-US" w:eastAsia="zh-CN"/>
        </w:rPr>
        <w:t>40G/100G</w:t>
      </w:r>
      <w:r>
        <w:rPr>
          <w:rFonts w:hint="default" w:asciiTheme="minorAscii"/>
          <w:i/>
          <w:iCs/>
          <w:sz w:val="21"/>
          <w:szCs w:val="21"/>
          <w:lang w:val="en-GB" w:eastAsia="zh-CN"/>
        </w:rPr>
        <w:t>-</w:t>
      </w:r>
      <w:r>
        <w:rPr>
          <w:rFonts w:hint="default" w:asciiTheme="minorAscii"/>
          <w:i/>
          <w:iCs/>
          <w:sz w:val="21"/>
          <w:szCs w:val="21"/>
          <w:lang w:val="en-US" w:eastAsia="zh-CN"/>
        </w:rPr>
        <w:t>Transceiver</w:t>
      </w:r>
    </w:p>
    <w:p>
      <w:pPr>
        <w:rPr>
          <w:rFonts w:hint="eastAsia" w:asciiTheme="minorAscii"/>
          <w:i/>
          <w:iCs/>
          <w:sz w:val="21"/>
          <w:szCs w:val="21"/>
          <w:lang w:val="en-US" w:eastAsia="zh-CN"/>
        </w:rPr>
      </w:pPr>
      <w:r>
        <w:rPr>
          <w:rFonts w:hint="default" w:asciiTheme="minorAscii"/>
          <w:i w:val="0"/>
          <w:iCs w:val="0"/>
          <w:sz w:val="21"/>
          <w:szCs w:val="21"/>
          <w:lang w:val="en-US" w:eastAsia="zh-CN"/>
        </w:rPr>
        <w:t>Wird in 40G/100G-Ethernet in Rechenzentren als die häufigste und kostengünstigste Verbindungslösung eingesetzt.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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Ausgewählte Fallstudie</w:t>
      </w:r>
      <w:r>
        <w:rPr>
          <w:rFonts w:hint="eastAsia" w:asciiTheme="minorAscii"/>
          <w:sz w:val="21"/>
          <w:szCs w:val="21"/>
        </w:rPr>
        <w:t xml:space="preserve">  </w:t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 xml:space="preserve"> </w:t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Netzausbau mit dem modularen Verkabelungssystem der FHD-Serie von FS</w:t>
      </w: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</w:rPr>
        <w:t>Beibehaltung der hochdichten Verkabelung zur Erweiterung der Speicherkapazität im Rechenzentrum und zur Erreichung der 40G-10G-Übertragung.</w:t>
      </w:r>
    </w:p>
    <w:p>
      <w:pPr>
        <w:rPr>
          <w:rFonts w:hint="eastAsia"/>
        </w:rPr>
      </w:pPr>
      <w:r>
        <w:rPr>
          <w:rFonts w:hint="eastAsia" w:asciiTheme="minorAscii"/>
          <w:sz w:val="21"/>
          <w:szCs w:val="21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GB"/>
        </w:rPr>
        <w:t xml:space="preserve">So realisieren </w:t>
      </w:r>
      <w:r>
        <w:rPr>
          <w:rFonts w:hint="eastAsia"/>
          <w:b/>
          <w:bCs/>
        </w:rPr>
        <w:t>wi</w:t>
      </w:r>
      <w:r>
        <w:rPr>
          <w:rFonts w:hint="default"/>
          <w:b/>
          <w:bCs/>
          <w:lang w:val="en-GB"/>
        </w:rPr>
        <w:t>r</w:t>
      </w:r>
      <w:r>
        <w:rPr>
          <w:rFonts w:hint="eastAsia"/>
          <w:b/>
          <w:bCs/>
        </w:rPr>
        <w:t xml:space="preserve"> Ihre Ziel</w:t>
      </w:r>
      <w:r>
        <w:rPr>
          <w:rFonts w:hint="default"/>
          <w:b/>
          <w:bCs/>
          <w:lang w:val="en-GB"/>
        </w:rPr>
        <w:t>e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Design Center</w:t>
      </w:r>
    </w:p>
    <w:p>
      <w:pPr>
        <w:rPr>
          <w:rFonts w:hint="eastAsia"/>
        </w:rPr>
      </w:pPr>
      <w:r>
        <w:rPr>
          <w:rFonts w:hint="eastAsia"/>
        </w:rPr>
        <w:t>Kompetenz in der Umsetzung von Anforderungsprofilen und der Bereitstellung einer innovativen, kostengünstigen und zuverlässigen Komplettlösung.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Quality Center</w:t>
      </w:r>
    </w:p>
    <w:p>
      <w:pPr>
        <w:rPr>
          <w:rFonts w:hint="eastAsia"/>
        </w:rPr>
      </w:pPr>
      <w:r>
        <w:rPr>
          <w:rFonts w:hint="eastAsia"/>
        </w:rPr>
        <w:t>Bereitstellung hochwertiger Produkte mit strengen Tests und Zertifizierungen nach Industriestandards.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Tech</w:t>
      </w:r>
      <w:r>
        <w:rPr>
          <w:rFonts w:hint="default"/>
          <w:i/>
          <w:iCs/>
          <w:lang w:val="en-GB"/>
        </w:rPr>
        <w:t>-</w:t>
      </w:r>
      <w:r>
        <w:rPr>
          <w:rFonts w:hint="eastAsia"/>
          <w:i/>
          <w:iCs/>
        </w:rPr>
        <w:t>Support</w:t>
      </w:r>
    </w:p>
    <w:p>
      <w:pPr>
        <w:rPr>
          <w:rFonts w:hint="eastAsia"/>
        </w:rPr>
      </w:pPr>
      <w:r>
        <w:rPr>
          <w:rFonts w:hint="eastAsia"/>
        </w:rPr>
        <w:t>Erhalten Sie kostenlosen Support &amp; Lösungsdesigns für Ihr Projekt online.</w:t>
      </w:r>
    </w:p>
    <w:p>
      <w:pPr>
        <w:rPr>
          <w:rFonts w:hint="eastAsia"/>
        </w:rPr>
      </w:pPr>
      <w:r>
        <w:rPr>
          <w:rFonts w:hint="eastAsia"/>
          <w:u w:val="single"/>
        </w:rPr>
        <w:t>Support anfragen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1B66"/>
    <w:rsid w:val="08235843"/>
    <w:rsid w:val="0BD62823"/>
    <w:rsid w:val="0C101831"/>
    <w:rsid w:val="1824644F"/>
    <w:rsid w:val="1BAD1BCE"/>
    <w:rsid w:val="1E77626B"/>
    <w:rsid w:val="20090113"/>
    <w:rsid w:val="224C474F"/>
    <w:rsid w:val="295C24FA"/>
    <w:rsid w:val="2A4D7D66"/>
    <w:rsid w:val="35AB1B66"/>
    <w:rsid w:val="3D3C5F17"/>
    <w:rsid w:val="3DBA0280"/>
    <w:rsid w:val="3DF42592"/>
    <w:rsid w:val="44F15BA3"/>
    <w:rsid w:val="45392333"/>
    <w:rsid w:val="45F64D64"/>
    <w:rsid w:val="48AB4C3B"/>
    <w:rsid w:val="514B0347"/>
    <w:rsid w:val="52485334"/>
    <w:rsid w:val="52D00A0A"/>
    <w:rsid w:val="5DA356F8"/>
    <w:rsid w:val="60B36356"/>
    <w:rsid w:val="64A23479"/>
    <w:rsid w:val="64C76A2C"/>
    <w:rsid w:val="66B75B50"/>
    <w:rsid w:val="6BBC107F"/>
    <w:rsid w:val="6C8B579E"/>
    <w:rsid w:val="6CCD6010"/>
    <w:rsid w:val="76C156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2019-12-02T08:43:00Z</dcterms:created>
  <dc:creator></dc:creator>
  <cp:lastModifiedBy>FS-Germany</cp:lastModifiedBy>
  <dcterms:modified xsi:type="dcterms:W3CDTF">2019-12-16T15:44:59Z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