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http://www.fs.com/de/specials/dc-core-network-switching-97.html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DC-</w:t>
      </w:r>
      <w:r>
        <w:rPr>
          <w:rFonts w:hint="eastAsia" w:asciiTheme="minorAscii"/>
          <w:b/>
          <w:bCs/>
          <w:sz w:val="21"/>
          <w:szCs w:val="21"/>
        </w:rPr>
        <w:t>Core-Netzwerk</w:t>
      </w:r>
      <w:r>
        <w:rPr>
          <w:rFonts w:hint="default" w:asciiTheme="minorAscii"/>
          <w:b/>
          <w:bCs/>
          <w:sz w:val="21"/>
          <w:szCs w:val="21"/>
          <w:lang w:val="en-GB"/>
        </w:rPr>
        <w:t>-Switching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Agile, skalierbare Netzwerktopologie mit einem dedizierten Rechenzentrumskern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bookmarkStart w:id="0" w:name="_GoBack"/>
      <w:bookmarkEnd w:id="0"/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Überblick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default" w:asciiTheme="minorAscii"/>
          <w:sz w:val="21"/>
          <w:szCs w:val="21"/>
          <w:lang w:val="en-GB"/>
        </w:rPr>
        <w:t>In der Telekommunikation ist das Core-Netzwerk das zentrale Element eines Netzwerks, das Dienstleistungen für Kunden erbringt, die über das Zugangsnetz verbunden sind. Das Leaf-Spine-Netzwerk wird heutzutage häufig im Core-Netzwerk verwendet.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Beim Aufbau eines Leaf-Spine 100G-Netzes für ein Rechenzentrum spielt der Core-Switch eine wichtige Rolle in dieser Struktur. Es dient sowohl als Switching- als auch als Routing-Engine. Außerdem werden MLAG- und VXLAG-Gateway-Funktionen benötigt, um eine hohe Zuverlässigkeit und Skalierbarkeit sowie ein vollständig verwaltetes Netzwerk zu erreichen.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Hohe Verfügbarkeit</w:t>
      </w:r>
    </w:p>
    <w:p>
      <w:pPr>
        <w:rPr>
          <w:rFonts w:hAnsi="Arial" w:eastAsia="Arial" w:cs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</w:pPr>
      <w:r>
        <w:rPr>
          <w:rFonts w:hint="default" w:hAnsi="Arial" w:eastAsia="Arial" w:asciiTheme="minorAscii"/>
          <w:i/>
          <w:iCs/>
          <w:caps w:val="0"/>
          <w:color w:val="232323"/>
          <w:spacing w:val="0"/>
          <w:sz w:val="21"/>
          <w:szCs w:val="21"/>
          <w:shd w:val="clear" w:fill="FFFFFF"/>
        </w:rPr>
        <w:t>Hervorragende Verwaltung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Verbesserte Skalierbarkeit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Niedrige Latenzzeit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Core-Netzwerk: Typische Anwendung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Das Spine-and-Leaf-Netzwerkdesign wird in Rechenzentren implementiert, um die Leistung bei der Bewältigung des überwiegend</w:t>
      </w:r>
      <w:r>
        <w:rPr>
          <w:rFonts w:hint="default" w:asciiTheme="minorAscii"/>
          <w:sz w:val="21"/>
          <w:szCs w:val="21"/>
          <w:lang w:val="en-GB"/>
        </w:rPr>
        <w:t>en</w:t>
      </w:r>
      <w:r>
        <w:rPr>
          <w:rFonts w:hint="eastAsia" w:asciiTheme="minorAscii"/>
          <w:sz w:val="21"/>
          <w:szCs w:val="21"/>
        </w:rPr>
        <w:t xml:space="preserve"> East-West-Traffics zu verbessern.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Core-Netzwerk-Lösung: Produktportfolio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Rechenzentrums-Switches</w:t>
      </w:r>
    </w:p>
    <w:p>
      <w:pPr>
        <w:rPr>
          <w:rFonts w:hint="eastAsia" w:asciiTheme="minorAscii"/>
          <w:i/>
          <w:iCs/>
          <w:sz w:val="21"/>
          <w:szCs w:val="21"/>
        </w:rPr>
      </w:pPr>
      <w:r>
        <w:rPr>
          <w:rFonts w:hint="default" w:asciiTheme="minorAscii"/>
          <w:sz w:val="21"/>
          <w:szCs w:val="21"/>
          <w:lang w:val="en-GB"/>
        </w:rPr>
        <w:t>Spin/Leaf-Switches bieten eine große Auswahl an Schnittstellengeschwindigkeit und -dichte in einer Vielzahl von offenen Netzwerklösungen.</w:t>
      </w:r>
    </w:p>
    <w:p>
      <w:pPr>
        <w:rPr>
          <w:rFonts w:hint="eastAsia" w:asciiTheme="minorAscii"/>
          <w:i/>
          <w:iCs/>
          <w:sz w:val="21"/>
          <w:szCs w:val="21"/>
        </w:rPr>
      </w:pP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eastAsia" w:asciiTheme="minorAscii"/>
          <w:b w:val="0"/>
          <w:bCs w:val="0"/>
          <w:i/>
          <w:iCs/>
          <w:sz w:val="21"/>
          <w:szCs w:val="21"/>
        </w:rPr>
        <w:t>40G</w:t>
      </w:r>
      <w:r>
        <w:rPr>
          <w:rFonts w:hint="default" w:asciiTheme="minorAscii"/>
          <w:b w:val="0"/>
          <w:bCs w:val="0"/>
          <w:i/>
          <w:iCs/>
          <w:sz w:val="21"/>
          <w:szCs w:val="21"/>
          <w:lang w:val="en-GB"/>
        </w:rPr>
        <w:t xml:space="preserve"> </w:t>
      </w:r>
      <w:r>
        <w:rPr>
          <w:rFonts w:hint="eastAsia" w:asciiTheme="minorAscii"/>
          <w:b w:val="0"/>
          <w:bCs w:val="0"/>
          <w:i/>
          <w:iCs/>
          <w:sz w:val="21"/>
          <w:szCs w:val="21"/>
        </w:rPr>
        <w:t>QSFP+</w:t>
      </w:r>
      <w:r>
        <w:rPr>
          <w:rFonts w:hint="default" w:asciiTheme="minorAscii"/>
          <w:b w:val="0"/>
          <w:bCs w:val="0"/>
          <w:i/>
          <w:iCs/>
          <w:sz w:val="21"/>
          <w:szCs w:val="21"/>
          <w:lang w:val="en-GB"/>
        </w:rPr>
        <w:t xml:space="preserve"> Transceiver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Überbrückung von Leaf und Spine mit einer Geschwindigkeit von 40Gbps, wodurch eine hohe Kompatibilität mit Mainstream-Anbietern gewährleistet ist.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 xml:space="preserve">10G SFP+ </w:t>
      </w:r>
      <w:r>
        <w:rPr>
          <w:rFonts w:hint="default" w:asciiTheme="minorAscii"/>
          <w:b w:val="0"/>
          <w:bCs w:val="0"/>
          <w:i/>
          <w:iCs/>
          <w:sz w:val="21"/>
          <w:szCs w:val="21"/>
          <w:lang w:val="en-GB"/>
        </w:rPr>
        <w:t>Transceiver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Das Anschließen an Server und Switches zur Übertragung des Datenverkehrs und die Gewährleistung einer hohen Kompatibilität mit Mainstream-Anbietern.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default" w:asciiTheme="minorAscii"/>
          <w:sz w:val="21"/>
          <w:szCs w:val="21"/>
          <w:lang w:val="en-GB"/>
        </w:rPr>
      </w:pPr>
      <w:r>
        <w:rPr>
          <w:rFonts w:hint="eastAsia" w:asciiTheme="minorAscii"/>
          <w:i/>
          <w:iCs/>
          <w:sz w:val="21"/>
          <w:szCs w:val="21"/>
        </w:rPr>
        <w:t>MTP</w:t>
      </w:r>
      <w:r>
        <w:rPr>
          <w:rFonts w:hint="default" w:asciiTheme="minorAscii"/>
          <w:i/>
          <w:iCs/>
          <w:sz w:val="21"/>
          <w:szCs w:val="21"/>
          <w:lang w:val="en-GB"/>
        </w:rPr>
        <w:t>-Trunkkabel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Entwickelt für High-Density-Fiber-Patching in Rechenzentren, die Platz sparen und Kabelmanagementprobleme reduzieren müssen.</w:t>
      </w:r>
    </w:p>
    <w:p>
      <w:pPr>
        <w:rPr>
          <w:rFonts w:hint="eastAsia" w:asciiTheme="minorAscii"/>
          <w:sz w:val="21"/>
          <w:szCs w:val="21"/>
        </w:rPr>
      </w:pP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Glasfaser-Patchkabel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</w:rPr>
        <w:t>Wird für die Verbindung zwischen Switches und Servern verwendet, um 10G/40G/100G Ethernet-Übertragungen zu ermöglichen.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</w:p>
    <w:p>
      <w:pPr>
        <w:rPr>
          <w:rFonts w:hint="eastAsia" w:asciiTheme="minorAscii"/>
          <w:i/>
          <w:iCs/>
          <w:sz w:val="21"/>
          <w:szCs w:val="21"/>
          <w:lang w:val="en-US" w:eastAsia="zh-CN"/>
        </w:rPr>
      </w:pPr>
      <w:r>
        <w:rPr>
          <w:rFonts w:hint="eastAsia" w:asciiTheme="minorAscii"/>
          <w:i/>
          <w:iCs/>
          <w:sz w:val="21"/>
          <w:szCs w:val="21"/>
          <w:lang w:val="en-US" w:eastAsia="zh-CN"/>
        </w:rPr>
        <w:t>Server</w:t>
      </w:r>
    </w:p>
    <w:p>
      <w:pPr>
        <w:rPr>
          <w:rFonts w:hint="default" w:asciiTheme="minorAscii"/>
          <w:i/>
          <w:iCs/>
          <w:sz w:val="21"/>
          <w:szCs w:val="21"/>
          <w:lang w:val="en-US" w:eastAsia="zh-CN"/>
        </w:rPr>
      </w:pPr>
      <w:r>
        <w:rPr>
          <w:rFonts w:hint="eastAsia" w:asciiTheme="minorAscii"/>
          <w:i w:val="0"/>
          <w:iCs w:val="0"/>
          <w:sz w:val="21"/>
          <w:szCs w:val="21"/>
          <w:lang w:val="en-US" w:eastAsia="zh-CN"/>
        </w:rPr>
        <w:t>Bereitstellung einer hohen Leistung und Speicherkapazität für zukünftiges Wachstum in einem 2HE-Formfaktor.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 xml:space="preserve"> 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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Ausgewählte Fallstudie</w:t>
      </w:r>
      <w:r>
        <w:rPr>
          <w:rFonts w:hint="eastAsia" w:asciiTheme="minorAscii"/>
          <w:sz w:val="21"/>
          <w:szCs w:val="21"/>
        </w:rPr>
        <w:t xml:space="preserve"> 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 xml:space="preserve"> 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i/>
          <w:iCs/>
          <w:sz w:val="21"/>
          <w:szCs w:val="21"/>
        </w:rPr>
        <w:t>Aufbau eines großen Rechenzentrums mit hochverfügbaren Ethernet-Switches</w:t>
      </w:r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Wir unterstützen unsere Kunden erfolgreich bei der Renovierung der Spine-Leaf-Architektur in deren großen Rechenzentren.</w:t>
      </w:r>
    </w:p>
    <w:p>
      <w:pPr>
        <w:rPr>
          <w:rFonts w:hint="eastAsia"/>
        </w:rPr>
      </w:pPr>
      <w:r>
        <w:rPr>
          <w:rFonts w:hint="eastAsia" w:asciiTheme="minorAscii"/>
          <w:sz w:val="21"/>
          <w:szCs w:val="21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BD62823"/>
    <w:rsid w:val="0C101831"/>
    <w:rsid w:val="104D7013"/>
    <w:rsid w:val="1824644F"/>
    <w:rsid w:val="1BAD1BCE"/>
    <w:rsid w:val="20090113"/>
    <w:rsid w:val="224C474F"/>
    <w:rsid w:val="295C24FA"/>
    <w:rsid w:val="35AB1B66"/>
    <w:rsid w:val="3D3C5F17"/>
    <w:rsid w:val="3DF42592"/>
    <w:rsid w:val="3FEE0D82"/>
    <w:rsid w:val="44F15BA3"/>
    <w:rsid w:val="45392333"/>
    <w:rsid w:val="45F64D64"/>
    <w:rsid w:val="514B0347"/>
    <w:rsid w:val="52485334"/>
    <w:rsid w:val="52D00A0A"/>
    <w:rsid w:val="5DA356F8"/>
    <w:rsid w:val="60B36356"/>
    <w:rsid w:val="64A23479"/>
    <w:rsid w:val="66B75B50"/>
    <w:rsid w:val="6BBC107F"/>
    <w:rsid w:val="6C8B579E"/>
    <w:rsid w:val="6CCD6010"/>
    <w:rsid w:val="794E3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2019-12-16T15:45:45Z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