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A Study in Words and Meanings</w:t>
      </w:r>
    </w:p>
    <w:p>
      <w:pPr>
        <w:pStyle w:val="BodyText"/>
      </w:pPr>
      <w:r>
        <w:t xml:space="preserve">Willard McCarty</w:t>
      </w:r>
    </w:p>
    <w:p>
      <w:pPr>
        <w:pStyle w:val="Body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odyText"/>
      </w:pPr>
      <w:r>
        <w:t xml:space="preserve">He knew men who hated the variables. They had their plans and by golly they were going to stick to them. If the site did not match the drawings it was like a personal insult.</w:t>
      </w:r>
    </w:p>
    <w:p>
      <w:pPr>
        <w:pStyle w:val="Body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odyText"/>
      </w:pPr>
      <w:r>
        <w:t xml:space="preserve">Kate Grenville, The Idea of Perfection (Sydney: Picador, 1999): 62–3</w:t>
      </w:r>
      <w:r>
        <w:t xml:space="preserve"> </w:t>
      </w:r>
      <w:r>
        <w:t xml:space="preserve">Introduction</w:t>
      </w:r>
      <w:r>
        <w:t xml:space="preserve"> </w:t>
      </w: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BodyText"/>
      </w:pPr>
      <w:r>
        <w:t xml:space="preserve">Background</w:t>
      </w:r>
      <w:r>
        <w:t xml:space="preserve"> </w:t>
      </w:r>
      <w:r>
        <w:t xml:space="preserve">Let me begin with provisional definitions1. By</w:t>
      </w:r>
      <w:r>
        <w:t xml:space="preserve"> </w:t>
      </w:r>
      <w:r>
        <w:t xml:space="preserve">“</w:t>
      </w:r>
      <w:r>
        <w:t xml:space="preserve">modeling</w:t>
      </w:r>
      <w:r>
        <w:t xml:space="preserve">”</w:t>
      </w:r>
      <w:r>
        <w:t xml:space="preserve"> </w:t>
      </w:r>
      <w:r>
        <w:t xml:space="preserve">I mean the heuristic process of constructing and manipulating models’, a</w:t>
      </w:r>
      <w:r>
        <w:t xml:space="preserve"> </w:t>
      </w:r>
      <w:r>
        <w:t xml:space="preserve">“</w:t>
      </w:r>
      <w:r>
        <w:t xml:space="preserve">model</w:t>
      </w:r>
      <w:r>
        <w:t xml:space="preserve">”</w:t>
      </w:r>
      <w:r>
        <w:t xml:space="preserve"> </w:t>
      </w:r>
      <w:r>
        <w:t xml:space="preserve">I take to be either a representation of something for purposes of study, or a design for realizing something new.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 (Geertz 1973: 93)2.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(Cartwright 1983: 158). By nature modeling defines a ternary relationship in which it mediates epistemologically, between modeler and modeled, researcher and data or theory and the world (Morrison and Morgan 1999).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 how we know what we know.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1995/1985: 460; cf. Fetzer 1999: 23).</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structures,3 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BodyText"/>
      </w:pPr>
      <w:r>
        <w:t xml:space="preserve">Learned Complaints</w:t>
      </w:r>
      <w:r>
        <w:t xml:space="preserve"> </w:t>
      </w: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Toulmin 1953: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BodyText"/>
      </w:pPr>
      <w:r>
        <w:t xml:space="preserve">Philological Analysis of Related Terms</w:t>
      </w:r>
      <w:r>
        <w:t xml:space="preserve"> </w:t>
      </w: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t xml:space="preserve">4 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BodyText"/>
      </w:pPr>
      <w:r>
        <w:t xml:space="preserve">Analogy</w:t>
      </w:r>
      <w:r>
        <w:t xml:space="preserve"> </w:t>
      </w: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career5.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 (Gentner 2002).</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(Hoffman 1995). Because modeling is analogical, this work is potentially relevant to questions raised in computing the artifacts of the humanities. We need to pay attention here.</w:t>
      </w:r>
    </w:p>
    <w:p>
      <w:pPr>
        <w:pStyle w:val="BodyText"/>
      </w:pPr>
      <w:r>
        <w:t xml:space="preserve">Representation</w:t>
      </w:r>
      <w:r>
        <w:t xml:space="preserve"> </w:t>
      </w:r>
      <w:r>
        <w:t xml:space="preserve">“</w:t>
      </w:r>
      <w:r>
        <w:t xml:space="preserve">Representation</w:t>
      </w:r>
      <w:r>
        <w:t xml:space="preserve">”</w:t>
      </w:r>
      <w:r>
        <w:t xml:space="preserve"> </w:t>
      </w:r>
      <w:r>
        <w:t xml:space="preserve">in Nelson Goodman’s terms is defined by a symbolic denotative correspondence, not likeness or imitation (1976: 3–41)6.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form.7</w:t>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ody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ody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odyText"/>
      </w:pPr>
      <w:r>
        <w:t xml:space="preserve">(2001: 11–12)</w:t>
      </w:r>
      <w:r>
        <w:t xml:space="preserve"> </w:t>
      </w:r>
      <w:r>
        <w:t xml:space="preserve">Projects such as Cyc, based on what Northrop Frye characterized as the discredited Wissenscbaft-theory of knowledge – that its accumulation in vast quantities will one day, somehow, result in understanding8 – clearly assume if not perfect closure, then a threshold beyond which lack of perfection ceases to matter. But to whom, and for what purposes?9 Apart from such questions, and the serious doubts within computer science on the wisdom of building massive knowledge-bases for expert systems10 –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 our intellectual claustrophobia tells an important tale. Not, of course, the only one. If the point of modeling is to fail well, then KR has a vital quality-control function to serve.</w:t>
      </w:r>
    </w:p>
    <w:p>
      <w:pPr>
        <w:pStyle w:val="BodyText"/>
      </w:pPr>
      <w:r>
        <w:t xml:space="preserve">Diagram</w:t>
      </w:r>
      <w:r>
        <w:t xml:space="preserve"> </w:t>
      </w: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)11 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anything12.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importance.13 That is changing very rapidly now. As a cognitive, reasoning process it is studied in relation to Greek mathematics and geometry in particular (Netz 1999).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BodyText"/>
      </w:pPr>
      <w:r>
        <w:t xml:space="preserve">Map</w:t>
      </w:r>
      <w:r>
        <w:t xml:space="preserve"> </w:t>
      </w:r>
      <w:r>
        <w:t xml:space="preserve">A map may be defined as a schematic spatial representation, or following Maxwell, a diagram of</w:t>
      </w:r>
      <w:r>
        <w:t xml:space="preserve"> </w:t>
      </w:r>
      <w:r>
        <w:t xml:space="preserve">“</w:t>
      </w:r>
      <w:r>
        <w:t xml:space="preserve">anything that can be spatially conceived.</w:t>
      </w:r>
      <w:r>
        <w:t xml:space="preserve">”</w:t>
      </w:r>
      <w:r>
        <w:t xml:space="preserve">14 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data15).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(Toulmin 1958), which suggests techniques of automated inferencing in AI. (Maps of argument look like flowcharts.) As a form of data-visualization, mapping also connects with a very strong, recent interest in humanities computing (Kirschenbaum 2002), and so connects this interest with modeling.</w:t>
      </w:r>
    </w:p>
    <w:p>
      <w:pPr>
        <w:pStyle w:val="BodyText"/>
      </w:pPr>
      <w:r>
        <w:t xml:space="preserve">Simulation</w:t>
      </w:r>
      <w:r>
        <w:t xml:space="preserve"> </w:t>
      </w: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(OED).16 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difference.17 That knowledge, however uneasily, can be put aside, as in what we now call</w:t>
      </w:r>
      <w:r>
        <w:t xml:space="preserve"> </w:t>
      </w:r>
      <w:r>
        <w:t xml:space="preserve">“</w:t>
      </w:r>
      <w:r>
        <w:t xml:space="preserve">virtual reality</w:t>
      </w:r>
      <w:r>
        <w:t xml:space="preserve">”</w:t>
      </w:r>
      <w:r>
        <w:t xml:space="preserve"> </w:t>
      </w:r>
      <w:r>
        <w:t xml:space="preserve">(VR).18</w:t>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 (Burch 2002).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t xml:space="preserve">19 –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 (Lougee 1988). In other words he or she must become a seventeenth-century Frenchman mentally and emotionally. From more recent and far more technically advanced VR applications, such as Richard Beacham’s and Hugh Denard’s reconstruction of the theater of Pompey in Rome (Beacham and Denard 2003),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 The Would-Be Gentleman 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 self-conscious simulation, and simulation an assimilated modeling.</w:t>
      </w:r>
    </w:p>
    <w:p>
      <w:pPr>
        <w:pStyle w:val="BodyText"/>
      </w:pPr>
      <w:r>
        <w:t xml:space="preserve">Experiment</w:t>
      </w:r>
      <w:r>
        <w:t xml:space="preserve"> </w:t>
      </w: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(OED).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 1987: 1). Modeling and experimenting are by nature open-ended; indeed they are often at the time ill-defined, even quite messy.20</w:t>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(Guala 2002).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 – a very close analogue to modeling.21 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background.22</w:t>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t xml:space="preserve">23 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 The Structure of Scientific Revolutions</w:t>
      </w:r>
      <w:r>
        <w:t xml:space="preserve"> </w:t>
      </w:r>
      <w:r>
        <w:t xml:space="preserve">“</w:t>
      </w:r>
      <w:r>
        <w:t xml:space="preserve">unwrapped the mummy of science</w:t>
      </w:r>
      <w:r>
        <w:t xml:space="preserve">”</w:t>
      </w:r>
      <w:r>
        <w:t xml:space="preserve"> </w:t>
      </w:r>
      <w:r>
        <w:t xml:space="preserve">by historicizing it (Hacking 1983: 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 (Galison 1987: 80- 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BodyText"/>
      </w:pPr>
      <w:r>
        <w:t xml:space="preserve">Conclusion</w:t>
      </w:r>
      <w:r>
        <w:t xml:space="preserve"> </w:t>
      </w: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BodyText"/>
      </w:pPr>
      <w:r>
        <w:t xml:space="preserve">Note</w:t>
      </w:r>
      <w:r>
        <w:t xml:space="preserve"> </w:t>
      </w:r>
      <w:r>
        <w:t xml:space="preserve">1 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p>
      <w:pPr>
        <w:pStyle w:val="BodyText"/>
      </w:pPr>
      <w:r>
        <w:t xml:space="preserve">2 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p>
      <w:pPr>
        <w:pStyle w:val="BodyText"/>
      </w:pPr>
      <w:r>
        <w:t xml:space="preserve">3 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p>
      <w:pPr>
        <w:pStyle w:val="BodyText"/>
      </w:pPr>
      <w:r>
        <w:t xml:space="preserve">4 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p>
      <w:pPr>
        <w:pStyle w:val="BodyText"/>
      </w:pPr>
      <w:r>
        <w:t xml:space="preserve">5 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p>
      <w:pPr>
        <w:pStyle w:val="BodyText"/>
      </w:pPr>
      <w:r>
        <w:t xml:space="preserve">6 Goodman dismantles the copy-theory of representation, arguing that representation is not mimetic but symbolic: object X is always represented as Y, which means that Y is selective with respect to X and stands in symbolic relationship to it. See also Elgin (1998), Hopkins (2000).</w:t>
      </w:r>
    </w:p>
    <w:p>
      <w:pPr>
        <w:pStyle w:val="BodyText"/>
      </w:pPr>
      <w:r>
        <w:t xml:space="preserve">7 Possibly the best and least problematic view is afforded by Davis et al. (1993); see also Sowa (2000); Barr and Feigenbaum (1981). Lenat (1998) illustrates the problematic tendencies in this field; Winograd (1991) and Dreyfus (1985) provide the antidote.</w:t>
      </w:r>
    </w:p>
    <w:p>
      <w:pPr>
        <w:pStyle w:val="BodyText"/>
      </w:pPr>
      <w:r>
        <w:t xml:space="preserve">8 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p>
      <w:pPr>
        <w:pStyle w:val="BodyText"/>
      </w:pPr>
      <w:r>
        <w:t xml:space="preserve">9 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p>
      <w:pPr>
        <w:pStyle w:val="BodyText"/>
      </w:pPr>
      <w:r>
        <w:t xml:space="preserve">10 Winograd and Flores (1986: 97–100, 131–3, 174–7); Dreyfus (1985). See also Brooks (1991).</w:t>
      </w:r>
    </w:p>
    <w:p>
      <w:pPr>
        <w:pStyle w:val="BodyText"/>
      </w:pPr>
      <w:r>
        <w:t xml:space="preserve">11 See, however, the discussion in Netz (1999: 35–8).</w:t>
      </w:r>
    </w:p>
    <w:p>
      <w:pPr>
        <w:pStyle w:val="BodyText"/>
      </w:pPr>
      <w:r>
        <w:t xml:space="preserve">12 Goodman (1976: 170f), who distinguishes between analogue and digital diagrams. As Netz explains, the lettered diagram provides a good example of the latter (1999: 34f).</w:t>
      </w:r>
    </w:p>
    <w:p>
      <w:pPr>
        <w:pStyle w:val="BodyText"/>
      </w:pPr>
      <w:r>
        <w:t xml:space="preserve">13 Shin and Lemon (2002); note the extensive bibliography.</w:t>
      </w:r>
    </w:p>
    <w:p>
      <w:pPr>
        <w:pStyle w:val="BodyText"/>
      </w:pPr>
      <w:r>
        <w:t xml:space="preserve">14 Robinson and Petchenik (1976); see also Monmonier (1996); Wood (1992). Turnbull (1994) argues specifically for the link between maps and theories.</w:t>
      </w:r>
    </w:p>
    <w:p>
      <w:pPr>
        <w:pStyle w:val="BodyText"/>
      </w:pPr>
      <w:r>
        <w:t xml:space="preserve">15 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p>
      <w:pPr>
        <w:pStyle w:val="BodyText"/>
      </w:pPr>
      <w:r>
        <w:t xml:space="preserve">16 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p>
      <w:pPr>
        <w:pStyle w:val="BodyText"/>
      </w:pPr>
      <w:r>
        <w:t xml:space="preserve">17 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p>
      <w:pPr>
        <w:pStyle w:val="BodyText"/>
      </w:pPr>
      <w:r>
        <w:t xml:space="preserve">18 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p>
      <w:pPr>
        <w:pStyle w:val="BodyText"/>
      </w:pPr>
      <w:r>
        <w:t xml:space="preserve">19 Rowe (1994), quoted by Burch (2002: 245); see also Winsberg (2001).</w:t>
      </w:r>
    </w:p>
    <w:p>
      <w:pPr>
        <w:pStyle w:val="BodyText"/>
      </w:pPr>
      <w:r>
        <w:t xml:space="preserve">20 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 (2000) and Morrison (1998) 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 (1988), Heelan (1988), and Galison (1988); and Franklin (2002) for physics in particular.</w:t>
      </w:r>
    </w:p>
    <w:p>
      <w:pPr>
        <w:pStyle w:val="BodyText"/>
      </w:pPr>
      <w:r>
        <w:t xml:space="preserve">21 See also Brown (2000), Gooding (1998) and note esp. the careful argument in Kuhn (1964) toward an understanding of how thought experiment can lead to new knowledge, not simply expose logical contradictions or confusions.</w:t>
      </w:r>
    </w:p>
    <w:p>
      <w:pPr>
        <w:pStyle w:val="BodyText"/>
      </w:pPr>
      <w:r>
        <w:t xml:space="preserve">22 I rely primarily on Galison (1987), Hacking (1983) and Nickels (2000).</w:t>
      </w:r>
    </w:p>
    <w:p>
      <w:pPr>
        <w:pStyle w:val="BodyText"/>
      </w:pPr>
      <w:r>
        <w:t xml:space="preserve">23 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 (Reichenbach 1938, chapter 1); compare Feyerabend (1993: 147–58).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(Popper 1959/1935: 7). See Nickels (2000).</w:t>
      </w:r>
    </w:p>
    <w:p>
      <w:pPr>
        <w:pStyle w:val="BodyText"/>
      </w:pPr>
      <w:r>
        <w:t xml:space="preserve">Works Cited</w:t>
      </w:r>
      <w:r>
        <w:t xml:space="preserve"> </w:t>
      </w:r>
      <w:r>
        <w:t xml:space="preserve">Achinstein, Peter (1968). Concepts of Science: A Philosophical Analysis. Baltimore: Johns Hopkins University Press.</w:t>
      </w:r>
    </w:p>
    <w:p>
      <w:pPr>
        <w:pStyle w:val="BodyText"/>
      </w:pPr>
      <w:r>
        <w:t xml:space="preserve">Bailer-Jones, Daniela M. (1999). Tracing the Development of Models in the Philosophy of Science. In Magnani, Nersessian and Thagard (1999): 23–40.</w:t>
      </w:r>
    </w:p>
    <w:p>
      <w:pPr>
        <w:pStyle w:val="BodyText"/>
      </w:pPr>
      <w:r>
        <w:t xml:space="preserve">Bailer-Jones, Daniela M. 2002. Models, Metaphors and Analogies. In Machamer and Silberstein (2002): 108–27.</w:t>
      </w:r>
    </w:p>
    <w:p>
      <w:pPr>
        <w:pStyle w:val="BodyText"/>
      </w:pPr>
      <w:r>
        <w:t xml:space="preserve">Bailer-Jones, Daniela M. and Coryn A. L. Bailer-Jones (2002). Modeling Data: Analogies in Neural Networks, Simulated Annealing and Genetic Algorithms. In Magnani and Nersessian (2002): 147–65.</w:t>
      </w:r>
    </w:p>
    <w:p>
      <w:pPr>
        <w:pStyle w:val="BodyText"/>
      </w:pPr>
      <w:r>
        <w:t xml:space="preserve">Barr, Avron and Edward A. Feigenbaum (1981). Representation of Knowledge. In The Handbook of Artificial Intelligence. Volume I, ed. Avron Barr and Edward A. Feigenbaum (pp. 141–222). Los Altos, CA: Morgan Kaufmann.</w:t>
      </w:r>
    </w:p>
    <w:p>
      <w:pPr>
        <w:pStyle w:val="BodyText"/>
      </w:pPr>
      <w:r>
        <w:t xml:space="preserve">Bateson, Gregory (2002). Mind and Nature: A Necessary Unity. Cresskill, NJ: Hampton Press.</w:t>
      </w:r>
    </w:p>
    <w:p>
      <w:pPr>
        <w:pStyle w:val="BodyText"/>
      </w:pPr>
      <w:r>
        <w:t xml:space="preserve">Beacham, Richard, and Hugh Denard (2003). The Pompey Project: Digital Research and Virtual. Reconstruction of Rome’s First Theatre. Computers and the Humanities 37, 1: 129–39.</w:t>
      </w:r>
    </w:p>
    <w:p>
      <w:pPr>
        <w:pStyle w:val="BodyText"/>
      </w:pPr>
      <w:r>
        <w:t xml:space="preserve">Black, Max (1979). More About Metaphor. In Metaphor and Thought, ed. Andrew Ortony (pp. 19–39). Cambridge: Cambridge University Press.</w:t>
      </w:r>
    </w:p>
    <w:p>
      <w:pPr>
        <w:pStyle w:val="BodyText"/>
      </w:pPr>
      <w:r>
        <w:t xml:space="preserve">Brooks, Rodney A. (1991). Intelligence without Representation. Artificial Intelligence Journal 47: 139–59.</w:t>
      </w:r>
    </w:p>
    <w:p>
      <w:pPr>
        <w:pStyle w:val="BodyText"/>
      </w:pPr>
      <w:r>
        <w:t xml:space="preserve">Brown, James Robert (2000). Thought Experiments. In Newton-Smith (2000): 528–31.</w:t>
      </w:r>
    </w:p>
    <w:p>
      <w:pPr>
        <w:pStyle w:val="BodyText"/>
      </w:pPr>
      <w:r>
        <w:t xml:space="preserve">Brown, James Robert 2002. Thought Experiments. Stanford Encyclopedia of Philosophy. Accessed September 12, 2003. At</w:t>
      </w:r>
      <w:r>
        <w:t xml:space="preserve"> </w:t>
      </w:r>
      <w:hyperlink r:id="rId20">
        <w:r>
          <w:rPr>
            <w:rStyle w:val="Hyperlink"/>
          </w:rPr>
          <w:t xml:space="preserve">http://plato.stanford.edu/entries/thought-experiment/</w:t>
        </w:r>
      </w:hyperlink>
      <w:r>
        <w:t xml:space="preserve">.</w:t>
      </w:r>
    </w:p>
    <w:p>
      <w:pPr>
        <w:pStyle w:val="BodyText"/>
      </w:pPr>
      <w:r>
        <w:t xml:space="preserve">Burch, Thomas K. (2002). Computer Modeling of Theory: Explanation for the 21st Century. In Franck (2002): 245–65.</w:t>
      </w:r>
    </w:p>
    <w:p>
      <w:pPr>
        <w:pStyle w:val="BodyText"/>
      </w:pPr>
      <w:r>
        <w:t xml:space="preserve">Cartwright, Nancy (1983). How the Laws of Physics Lie. Oxford: Clarendon Press.</w:t>
      </w:r>
    </w:p>
    <w:p>
      <w:pPr>
        <w:pStyle w:val="BodyText"/>
      </w:pPr>
      <w:r>
        <w:t xml:space="preserve">Clarke, David L. (1972). Models and Paradigms in Contemporary Archaeology. In Models in Archaeology, ed. David L. Clarke (pp. 1–60). London: Methuen.</w:t>
      </w:r>
    </w:p>
    <w:p>
      <w:pPr>
        <w:pStyle w:val="BodyText"/>
      </w:pPr>
      <w:r>
        <w:t xml:space="preserve">Craig, David L., Nancy J. Nersessian, and Richard Catrambone (2002). Perceptual Simulation in Analogical Problem Solving. In Magnani and Nersessian (2002): 167–89.</w:t>
      </w:r>
    </w:p>
    <w:p>
      <w:pPr>
        <w:pStyle w:val="BodyText"/>
      </w:pPr>
      <w:r>
        <w:t xml:space="preserve">Davies, Martin and Tony Stone (2000). Simulation Theory. In Routledge Encyclopedia of Philosophy. London: Routledge.</w:t>
      </w:r>
    </w:p>
    <w:p>
      <w:pPr>
        <w:pStyle w:val="BodyText"/>
      </w:pPr>
      <w:r>
        <w:t xml:space="preserve">Davis, Randall, Howard Shrobe, and Peter Szolovits (1993). What Is Knowledge Representation? AI Magazine(Spring): 17–33. Accessed September 18, 2003. At &lt;http://www.aaai.org/Library/Magazine/Voll4/l4 01.html&gt;.</w:t>
      </w:r>
    </w:p>
    <w:p>
      <w:pPr>
        <w:pStyle w:val="BodyText"/>
      </w:pPr>
      <w:r>
        <w:t xml:space="preserve">Del Re, Giuseppe (2000). Models and Analogies in Science. Hyle - International Journal for the Philosophy of Chemistry 6, 1: 5–15. Accessed September 18, 2003. At http://www.hyle.Org/journal/issues/6/delre.htm.</w:t>
      </w:r>
    </w:p>
    <w:p>
      <w:pPr>
        <w:pStyle w:val="BodyText"/>
      </w:pPr>
      <w:r>
        <w:t xml:space="preserve">Dening, Greg (1996). Performances. Chicago: University of Chicago Press.</w:t>
      </w:r>
    </w:p>
    <w:p>
      <w:pPr>
        <w:pStyle w:val="BodyText"/>
      </w:pPr>
      <w:r>
        <w:t xml:space="preserve">Dening, Greg (1998). Readings/Writings. Melbourne: University of Melbourne Press.</w:t>
      </w:r>
    </w:p>
    <w:p>
      <w:pPr>
        <w:pStyle w:val="BodyText"/>
      </w:pPr>
      <w:r>
        <w:t xml:space="preserve">Dreyfus, Hubert L. (1985). From Micro-Worlds to Knowledge Representation: AI at an Impasse. In Readings in Knowledge Representation, ed. Ronald J. Brachman and Hector Levesque (pp. 71–94). Los Altos, CA: Morgan Kaufmann.</w:t>
      </w:r>
    </w:p>
    <w:p>
      <w:pPr>
        <w:pStyle w:val="BodyText"/>
      </w:pPr>
      <w:r>
        <w:t xml:space="preserve">Elgin, Catherine Z. (1998). Goodman, Nelson. In Routledge Encyclopedia of Philosophy. London: Routledge.</w:t>
      </w:r>
    </w:p>
    <w:p>
      <w:pPr>
        <w:pStyle w:val="BodyText"/>
      </w:pPr>
      <w:r>
        <w:t xml:space="preserve">Fetzer, James H. (1999). The Role of Models in Computer Science. The Monist 82, 1: 20–36.</w:t>
      </w:r>
    </w:p>
    <w:p>
      <w:pPr>
        <w:pStyle w:val="BodyText"/>
      </w:pPr>
      <w:r>
        <w:t xml:space="preserve">Feyerabend, Paul (1993). Against Method, 3rd edn. London: Verso.</w:t>
      </w:r>
    </w:p>
    <w:p>
      <w:pPr>
        <w:pStyle w:val="BodyText"/>
      </w:pPr>
      <w:r>
        <w:t xml:space="preserve">Finley, M. I. (1986). Ancient History: Evidence and Models. New York: Viking.</w:t>
      </w:r>
    </w:p>
    <w:p>
      <w:pPr>
        <w:pStyle w:val="BodyText"/>
      </w:pPr>
      <w:r>
        <w:t xml:space="preserve">Fodor, Jerry (1995). West Coast Fuzzy. Review of Paul M. Churchland, The Engine of Reason, the Seat of the Soul. Times Literary Supplement (August 25).</w:t>
      </w:r>
    </w:p>
    <w:p>
      <w:pPr>
        <w:pStyle w:val="BodyText"/>
      </w:pPr>
      <w:r>
        <w:t xml:space="preserve">Franck, Robert, (ed.) (2002). The Explanatory Power of Models. Methodos Series, vol. 1. Dordrecht: Kluwer Academic.</w:t>
      </w:r>
    </w:p>
    <w:p>
      <w:pPr>
        <w:pStyle w:val="BodyText"/>
      </w:pPr>
      <w:r>
        <w:t xml:space="preserve">Franklin, Allan (2002). Experiment in Physics. The Stanford Encyclopedia of Philosophy. Accessed September 12, 2003. At</w:t>
      </w:r>
      <w:r>
        <w:t xml:space="preserve"> </w:t>
      </w:r>
      <w:hyperlink r:id="rId21">
        <w:r>
          <w:rPr>
            <w:rStyle w:val="Hyperlink"/>
          </w:rPr>
          <w:t xml:space="preserve">http://plato.stanford.edu/entries/physics-experiment</w:t>
        </w:r>
      </w:hyperlink>
      <w:r>
        <w:t xml:space="preserve">.</w:t>
      </w:r>
    </w:p>
    <w:p>
      <w:pPr>
        <w:pStyle w:val="BodyText"/>
      </w:pPr>
      <w:r>
        <w:t xml:space="preserve">Frye, Northrop (1991). Literary and Mechanical Models. In Research in Humanities Computing 1. Papers from the 1989 ACH-ALLC Conference, ed. Ian Lancashire (pp. 1–12). Oxford: Clarendon Press.</w:t>
      </w:r>
    </w:p>
    <w:p>
      <w:pPr>
        <w:pStyle w:val="BodyText"/>
      </w:pPr>
      <w:r>
        <w:t xml:space="preserve">Galison, Peter (1987). How Experiments End. Chicago: University of Chicago Press.</w:t>
      </w:r>
    </w:p>
    <w:p>
      <w:pPr>
        <w:pStyle w:val="BodyText"/>
      </w:pPr>
      <w:r>
        <w:t xml:space="preserve">Galison, Peter (1988). Philosophy in the Laboratory. Journal of Philosophy 85, 10: 525–7.</w:t>
      </w:r>
    </w:p>
    <w:p>
      <w:pPr>
        <w:pStyle w:val="BodyText"/>
      </w:pPr>
      <w:r>
        <w:t xml:space="preserve">Galison, Peter (1997). Image and Logic: A Material Culture of Microphysics. Chicago: University of Chicago Press.</w:t>
      </w:r>
    </w:p>
    <w:p>
      <w:pPr>
        <w:pStyle w:val="BodyText"/>
      </w:pPr>
      <w:r>
        <w:t xml:space="preserve">Geertz, Clifford (1973). Religion as a Cultural System. In The Interpretation of Cultures: Selected Essays. New York: Basic Books. (Reprint: London: Fontana Press, 1993.).</w:t>
      </w:r>
    </w:p>
    <w:p>
      <w:pPr>
        <w:pStyle w:val="BodyText"/>
      </w:pPr>
      <w:r>
        <w:t xml:space="preserve">Gentner, Dedre (2002). Analogy in Scientific Discovery: The Case of Johannes Kepler. In Magnani and Nersessian (2002): 21–39.</w:t>
      </w:r>
    </w:p>
    <w:p>
      <w:pPr>
        <w:pStyle w:val="BodyText"/>
      </w:pPr>
      <w:r>
        <w:t xml:space="preserve">Gibbs, Raymond W, Jr (1994). The Poetics of Mind: Figurative Thought, Language, and Understanding. Cambridge: Cambridge University Press.</w:t>
      </w:r>
    </w:p>
    <w:p>
      <w:pPr>
        <w:pStyle w:val="BodyText"/>
      </w:pPr>
      <w:r>
        <w:t xml:space="preserve">Gooding, David C. (1998). Thought Experiments. Routledge Encyclopedia of Philosophy. London: Routledge.</w:t>
      </w:r>
    </w:p>
    <w:p>
      <w:pPr>
        <w:pStyle w:val="BodyText"/>
      </w:pPr>
      <w:r>
        <w:t xml:space="preserve">Gooding, David C. (2000). Experiment. In Newton-Smith (2000): 117–26.</w:t>
      </w:r>
    </w:p>
    <w:p>
      <w:pPr>
        <w:pStyle w:val="BodyText"/>
      </w:pPr>
      <w:r>
        <w:t xml:space="preserve">Goodman, Nelson (1972). Problems and Projects. Indianapolis, IN: Bobbs-Merrill.</w:t>
      </w:r>
    </w:p>
    <w:p>
      <w:pPr>
        <w:pStyle w:val="BodyText"/>
      </w:pPr>
      <w:r>
        <w:t xml:space="preserve">Goodman, Nelson (1976). The Languages of Art. Indianapolis, IN: Hackett.</w:t>
      </w:r>
    </w:p>
    <w:p>
      <w:pPr>
        <w:pStyle w:val="BodyText"/>
      </w:pPr>
      <w:r>
        <w:t xml:space="preserve">Groenewold, H. J. (1960). The Model in Physics. In The Concept and the Role of the Model in Mathematics and the Natural Sciences, ed. Hans Friedenthal (pp. 98–103). Dordrecht: D. Reidel.</w:t>
      </w:r>
    </w:p>
    <w:p>
      <w:pPr>
        <w:pStyle w:val="BodyText"/>
      </w:pPr>
      <w:r>
        <w:t xml:space="preserve">Guala, Francesco (2002). Models, Simulations, and Experiments. In Magnani and Nersessian (2002): 59–74.</w:t>
      </w:r>
    </w:p>
    <w:p>
      <w:pPr>
        <w:pStyle w:val="BodyText"/>
      </w:pPr>
      <w:r>
        <w:t xml:space="preserve">Hacking, Ian (1983). Representing and Intervening: Introductory Topics in the Philosophy of Natural Science. Cambridge: Cambridge University Press.</w:t>
      </w:r>
    </w:p>
    <w:p>
      <w:pPr>
        <w:pStyle w:val="BodyText"/>
      </w:pPr>
      <w:r>
        <w:t xml:space="preserve">Hacking, Ian (1988). On the Stability of the Laboratory Sciences. Journal of Philosophy 85, 10: 507–14.</w:t>
      </w:r>
    </w:p>
    <w:p>
      <w:pPr>
        <w:pStyle w:val="BodyText"/>
      </w:pPr>
      <w:r>
        <w:t xml:space="preserve">Heelan, Patrick A. (1988). Experiment and Theory: Constitution and Reality. Journal of Philosophy 85, 10: 515–27.</w:t>
      </w:r>
    </w:p>
    <w:p>
      <w:pPr>
        <w:pStyle w:val="BodyText"/>
      </w:pPr>
      <w:r>
        <w:t xml:space="preserve">Hoffmann, Robert R. (1995). Monster Analogies. AI Magazine 16, 3: 11–35. Accessed September 18, 2003. At &lt;http://www.aaai.org.Library/Magazine/Vol16.16 03/vol.16 03.html&gt;.</w:t>
      </w:r>
    </w:p>
    <w:p>
      <w:pPr>
        <w:pStyle w:val="BodyText"/>
      </w:pPr>
      <w:r>
        <w:t xml:space="preserve">Holyoak, Keith J. and Paul Thagard (1997). The Analogical Mind. American Psychologist 52, 1: 35–44.</w:t>
      </w:r>
    </w:p>
    <w:p>
      <w:pPr>
        <w:pStyle w:val="BodyText"/>
      </w:pPr>
      <w:r>
        <w:t xml:space="preserve">Hopkins, R. D. (2000). Depiction. In Routledge Encyclopedia of Philosophy. London: Routledge.</w:t>
      </w:r>
    </w:p>
    <w:p>
      <w:pPr>
        <w:pStyle w:val="BodyText"/>
      </w:pPr>
      <w:r>
        <w:t xml:space="preserve">Johnson, Mark (2002). Metaphor-Based Values in Scientific Models. In Magnani and Nersessian (2002): 1–19.</w:t>
      </w:r>
    </w:p>
    <w:p>
      <w:pPr>
        <w:pStyle w:val="BodyText"/>
      </w:pPr>
      <w:r>
        <w:t xml:space="preserve">Kent, William (2000/1978). Data and Reality, 2nd edn. Bloomington, IN: 1st Books. (Originally published in Amsterdam: North Holland.).</w:t>
      </w:r>
    </w:p>
    <w:p>
      <w:pPr>
        <w:pStyle w:val="BodyText"/>
      </w:pPr>
      <w:r>
        <w:t xml:space="preserve">Kirschenbaum, Matthew, (ed.) (2002). Image-Based Humanities Computing. Special issue of Computers and the Humanities 36, 3.</w:t>
      </w:r>
    </w:p>
    <w:p>
      <w:pPr>
        <w:pStyle w:val="BodyText"/>
      </w:pPr>
      <w:r>
        <w:t xml:space="preserve">Korzybski, Alfred (1933). Science and Sanity: An Introduction to Non-Aristotelian Systems and General Semantics. Lancaster, PA: International Non-Aristotelian Library Publishing.</w:t>
      </w:r>
    </w:p>
    <w:p>
      <w:pPr>
        <w:pStyle w:val="BodyText"/>
      </w:pPr>
      <w:r>
        <w:t xml:space="preserve">Kuhn, Thomas (1964). A Function for Thought Experiments. In L’aventure de la science, Mélanges Alexandre Koyré, vol. 2 (pp. 307–34). Paris: Hermann.</w:t>
      </w:r>
    </w:p>
    <w:p>
      <w:pPr>
        <w:pStyle w:val="BodyText"/>
      </w:pPr>
      <w:r>
        <w:t xml:space="preserve">Leatherdale, W. H. (1974). The Role of Analogy, Model and Metaphor in Science. Amsterdam: North Holland Publishing.</w:t>
      </w:r>
    </w:p>
    <w:p>
      <w:pPr>
        <w:pStyle w:val="BodyText"/>
      </w:pPr>
      <w:r>
        <w:t xml:space="preserve">Leff, Gordon (1972). Models Inherent in History. In Shanin, ed.(1972):148–74.</w:t>
      </w:r>
    </w:p>
    <w:p>
      <w:pPr>
        <w:pStyle w:val="BodyText"/>
      </w:pPr>
      <w:r>
        <w:t xml:space="preserve">Lenat, Douglas B. (1998). From 2001 to 2001: Common Sense and the Mind of HAL. In HAL’s Legacy: 2001’s Computer as Dream and Reality, ed. David G. Stork (pp. 193–209). Cambridge, MA: MIT Press.</w:t>
      </w:r>
    </w:p>
    <w:p>
      <w:pPr>
        <w:pStyle w:val="BodyText"/>
      </w:pPr>
      <w:r>
        <w:t xml:space="preserve">Lloyd, Elisabeth A. (1998). Models. In Routledge Encyclopedia of Philosophy. London: Routledge.</w:t>
      </w:r>
    </w:p>
    <w:p>
      <w:pPr>
        <w:pStyle w:val="BodyText"/>
      </w:pPr>
      <w:r>
        <w:t xml:space="preserve">Lougee, Carolyn (1988). The Would-Be Gentleman: a Historical Simulation of the France of Louis XIV. History Microcomputer Review 4: 7–14.</w:t>
      </w:r>
    </w:p>
    <w:p>
      <w:pPr>
        <w:pStyle w:val="BodyText"/>
      </w:pPr>
      <w:r>
        <w:t xml:space="preserve">McCarty, Willard (2002). A Network with a Thousand Entrances: Commentary in an Electronic Age? In The Classical Commentary: Histories, Practices, Theory, ed. Roy K. Gibson and Christina Shuttleworth Kraus (pp. 359–402). Leiden: Brill.</w:t>
      </w:r>
    </w:p>
    <w:p>
      <w:pPr>
        <w:pStyle w:val="BodyText"/>
      </w:pPr>
      <w:r>
        <w:t xml:space="preserve">Machamer, Peter and Silberstein, Michael, eds. (2002). The Blackwell Guide to the Philosophy of Science. Oxford: Blackwell Publishers.</w:t>
      </w:r>
    </w:p>
    <w:p>
      <w:pPr>
        <w:pStyle w:val="BodyText"/>
      </w:pPr>
      <w:r>
        <w:t xml:space="preserve">Magnani, Lorenzo and Nancy J. Nersessian, (eds.) (2002). Model-Eased Reasoning: Science, Technology, Values. New York: Kluwer Academic/Plenum.</w:t>
      </w:r>
    </w:p>
    <w:p>
      <w:pPr>
        <w:pStyle w:val="BodyText"/>
      </w:pPr>
      <w:r>
        <w:t xml:space="preserve">Magnani, Lorenzo, Nancy J. Nersessian, and Paul Thagard, (eds.) (1999). Model-Eased Reasoning in Scientific Discovery. New York: Kluwer Academic/Plenum.</w:t>
      </w:r>
    </w:p>
    <w:p>
      <w:pPr>
        <w:pStyle w:val="BodyText"/>
      </w:pPr>
      <w:r>
        <w:t xml:space="preserve">Markman, Arthur B. and Eric Dietrich (2000). Extending the Classical View of Representation. Trends in Cognitive Sciences 4, 12: 470–5.</w:t>
      </w:r>
    </w:p>
    <w:p>
      <w:pPr>
        <w:pStyle w:val="BodyText"/>
      </w:pPr>
      <w:r>
        <w:t xml:space="preserve">Maxwell, James Clerk (1911). Diagram. In Encyclopaedia Britannica, 11th edn. (pp. 146–9).</w:t>
      </w:r>
    </w:p>
    <w:p>
      <w:pPr>
        <w:pStyle w:val="BodyText"/>
      </w:pPr>
      <w:r>
        <w:t xml:space="preserve">Minsky, Marvin (1991). Conscious Machines. Proceedings, National Research Council of Canada, 75th Anniversary Symposium on Science in Society (June). Accessed April 22, 2004. At</w:t>
      </w:r>
      <w:r>
        <w:t xml:space="preserve"> </w:t>
      </w:r>
      <w:hyperlink r:id="rId22">
        <w:r>
          <w:rPr>
            <w:rStyle w:val="Hyperlink"/>
          </w:rPr>
          <w:t xml:space="preserve">http://kuoi.asui.uidaho.edu/~kamikaze/doc/minsky.html</w:t>
        </w:r>
      </w:hyperlink>
      <w:r>
        <w:t xml:space="preserve">.</w:t>
      </w:r>
    </w:p>
    <w:p>
      <w:pPr>
        <w:pStyle w:val="BodyText"/>
      </w:pPr>
      <w:r>
        <w:t xml:space="preserve">Minsky, Marvin L. (1995). Matter, Mind and Models. Accessed January 20, 2003. At http://medg.lcs.mit.edu/people/doyle/gallery/minsky.mmm.html&gt;. (Rev. version of the essay in Semantic Information Processing, ed. Marvin Minsky. Cambridge, MA: MIT Press, 1968.).</w:t>
      </w:r>
    </w:p>
    <w:p>
      <w:pPr>
        <w:pStyle w:val="BodyText"/>
      </w:pPr>
      <w:r>
        <w:t xml:space="preserve">Mironesco, Christine (2002). The Role of Models in Comparative Politics. In Franck (2002): 181–95.</w:t>
      </w:r>
    </w:p>
    <w:p>
      <w:pPr>
        <w:pStyle w:val="BodyText"/>
      </w:pPr>
      <w:r>
        <w:t xml:space="preserve">Mitchell, Melanie (1993). Analogy-Making as Perception. Cambridge, MA: MIT Press.</w:t>
      </w:r>
    </w:p>
    <w:p>
      <w:pPr>
        <w:pStyle w:val="BodyText"/>
      </w:pPr>
      <w:r>
        <w:t xml:space="preserve">Monmonier, Mark (1996). How to Lie with Maps, 2nd edn. Chicago: University of Chicago Press.</w:t>
      </w:r>
    </w:p>
    <w:p>
      <w:pPr>
        <w:pStyle w:val="BodyText"/>
      </w:pPr>
      <w:r>
        <w:t xml:space="preserve">Morgan, Mary S. (2002). Model Experiments and Models in Experiments. In Magnani and Nersessian (2002): 41–58.</w:t>
      </w:r>
    </w:p>
    <w:p>
      <w:pPr>
        <w:pStyle w:val="BodyText"/>
      </w:pPr>
      <w:r>
        <w:t xml:space="preserve">Morrison, Margaret (1998). Experiment. In Routledge Encyclopedia of Philosophy. London: Routledge.</w:t>
      </w:r>
    </w:p>
    <w:p>
      <w:pPr>
        <w:pStyle w:val="BodyText"/>
      </w:pPr>
      <w:r>
        <w:t xml:space="preserve">Morrison, Margaret and Mary S. Morgan, (eds.) (1999). Models as Mediators: Perspectives on Natural and Social Science. Ideas in Context, 52. Cambridge: Cambridge University Press.</w:t>
      </w:r>
    </w:p>
    <w:p>
      <w:pPr>
        <w:pStyle w:val="BodyText"/>
      </w:pPr>
      <w:r>
        <w:t xml:space="preserve">Netz, Reviel (1999). The Shaping of Deduction in Greek Mathematics: A Study in Cognitive History. Ideas in Context, 51. Cambridge: Cambridge University Press.</w:t>
      </w:r>
    </w:p>
    <w:p>
      <w:pPr>
        <w:pStyle w:val="BodyText"/>
      </w:pPr>
      <w:r>
        <w:t xml:space="preserve">Newton-Smith, W. H. ed. (2000). A Companion to the Philosophy of Science. Oxford: Blackwell.</w:t>
      </w:r>
    </w:p>
    <w:p>
      <w:pPr>
        <w:pStyle w:val="BodyText"/>
      </w:pPr>
      <w:r>
        <w:t xml:space="preserve">Nickels, Thomas (2000). Discovery. In Newton-Smith (2000): 85–96.</w:t>
      </w:r>
    </w:p>
    <w:p>
      <w:pPr>
        <w:pStyle w:val="BodyText"/>
      </w:pPr>
      <w:r>
        <w:t xml:space="preserve">Polanyi, Michael (1966). The Tacit Dimension. New York: Doubleday.</w:t>
      </w:r>
    </w:p>
    <w:p>
      <w:pPr>
        <w:pStyle w:val="BodyText"/>
      </w:pPr>
      <w:r>
        <w:t xml:space="preserve">Popper, Karl R. (1959/1935). The Logic of Scientific Discovery. London: Hutchinson. (Originally published as Logik der Forschung. Vienna: Verlag von Julius Springer.).</w:t>
      </w:r>
    </w:p>
    <w:p>
      <w:pPr>
        <w:pStyle w:val="BodyText"/>
      </w:pPr>
      <w:r>
        <w:t xml:space="preserve">Popper, Karl R. (1979). Objective Knowledge. An Evolutionary Approach. Oxford: Clarendon Press.</w:t>
      </w:r>
    </w:p>
    <w:p>
      <w:pPr>
        <w:pStyle w:val="BodyText"/>
      </w:pPr>
      <w:r>
        <w:t xml:space="preserve">Reichenbach, Hans (1938). Experience and Prediction: An Analysis of the Foundations and the Structure of Knowledge. Chicago: University of Chicago Press. (A transcription of Chapter 1 is available at http://www.ditext.com/reichenbach/reicho.html. Accessed September 12, 2003.).</w:t>
      </w:r>
    </w:p>
    <w:p>
      <w:pPr>
        <w:pStyle w:val="BodyText"/>
      </w:pPr>
      <w:r>
        <w:t xml:space="preserve">Robinson, Arthur H. and Barbara Petchenik (1976). The Nature of Maps. Chicago: University of Chicago Press.</w:t>
      </w:r>
    </w:p>
    <w:p>
      <w:pPr>
        <w:pStyle w:val="BodyText"/>
      </w:pPr>
      <w:r>
        <w:t xml:space="preserve">Rowe, Glenn W. (1994). Theoretical Models in Biology: The Origin of Life, the Immune System, and the Brain. Oxford: Oxford University Press.</w:t>
      </w:r>
    </w:p>
    <w:p>
      <w:pPr>
        <w:pStyle w:val="BodyText"/>
      </w:pPr>
      <w:r>
        <w:t xml:space="preserve">Shanin, Teodor (1972). Models in Thought. In Shanin, ed. (1972): 1–22.</w:t>
      </w:r>
    </w:p>
    <w:p>
      <w:pPr>
        <w:pStyle w:val="BodyText"/>
      </w:pPr>
      <w:r>
        <w:t xml:space="preserve">Shanin, Teodor, (ed.) (1972). Rules of the Game: Cross-Disciplinary Essays on Models in Scholarly Thought. London: Tavistock.</w:t>
      </w:r>
    </w:p>
    <w:p>
      <w:pPr>
        <w:pStyle w:val="BodyText"/>
      </w:pPr>
      <w:r>
        <w:t xml:space="preserve">Shelley, Cameron (2002). Analogy Counterarguments and the Acceptability of Analogical Hypotheses. British Journal for the Philosophy of Science 53: 477–96.</w:t>
      </w:r>
    </w:p>
    <w:p>
      <w:pPr>
        <w:pStyle w:val="BodyText"/>
      </w:pPr>
      <w:r>
        <w:t xml:space="preserve">Shin, Sun-Joo and Oliver Lemon (2002). Diagrams. Stanford Encyclopedia of Philosophy. Accessed September 11, 2003. At http://plato.stanford.edu/entries/diagrams/.</w:t>
      </w:r>
    </w:p>
    <w:p>
      <w:pPr>
        <w:pStyle w:val="BodyText"/>
      </w:pPr>
      <w:r>
        <w:t xml:space="preserve">Simon, Herbert (1969). The Sciences of the Artificial. Cambridge, MA: MIT Press.</w:t>
      </w:r>
    </w:p>
    <w:p>
      <w:pPr>
        <w:pStyle w:val="BodyText"/>
      </w:pPr>
      <w:r>
        <w:t xml:space="preserve">Smith, Brian Cantwell (1995/1985). Limits of Correctness in Computers. In Computers, Ethics and Social Values, ed. Deborah G. Johnson and Helen Nissenbaum (pp. 456–69). Englewood Cliffs, NJ: Prentice Hall. (Originally published in Computers and Society (ACM SIGCAS) 14/15: 18–26.).</w:t>
      </w:r>
    </w:p>
    <w:p>
      <w:pPr>
        <w:pStyle w:val="BodyText"/>
      </w:pPr>
      <w:r>
        <w:t xml:space="preserve">Sowa, John F. (2000). Knowledge Representation: Logical, Philosophical, and Computational Foundations. Pacific Grove, CA: Brooks/Cole.</w:t>
      </w:r>
    </w:p>
    <w:p>
      <w:pPr>
        <w:pStyle w:val="BodyText"/>
      </w:pPr>
      <w:r>
        <w:t xml:space="preserve">Toulmin, Stephen (1953). The Philosophy of Science. London: Hutchinson University Library.</w:t>
      </w:r>
    </w:p>
    <w:p>
      <w:pPr>
        <w:pStyle w:val="BodyText"/>
      </w:pPr>
      <w:r>
        <w:t xml:space="preserve">Toulmin, Stephen (1958). The Uses of Argument. Cambridge: Cambridge University Press.</w:t>
      </w:r>
    </w:p>
    <w:p>
      <w:pPr>
        <w:pStyle w:val="BodyText"/>
      </w:pPr>
      <w:r>
        <w:t xml:space="preserve">Turnbull, David (1994). Maps are Territories. Science is an Atlas. Chicago: University of Chicago Press.</w:t>
      </w:r>
    </w:p>
    <w:p>
      <w:pPr>
        <w:pStyle w:val="BodyText"/>
      </w:pPr>
      <w:r>
        <w:t xml:space="preserve">Turner, Mark (1995). Review of The Poetics of Mind: Figurative Thought, Language, and Understanding, by Raymond W. Gibbs. Pragmatics and Cognition 3, 1: 179–85.</w:t>
      </w:r>
    </w:p>
    <w:p>
      <w:pPr>
        <w:pStyle w:val="BodyText"/>
      </w:pPr>
      <w:r>
        <w:t xml:space="preserve">Turner, Mark (1996). Literary Mind: The Origins of Thought and Language. Oxford: Oxford University Press.</w:t>
      </w:r>
    </w:p>
    <w:p>
      <w:pPr>
        <w:pStyle w:val="BodyText"/>
      </w:pPr>
      <w:r>
        <w:t xml:space="preserve">Williams, Michael (2001). Problems of Knowledge: A Critical Introduction to Epistemology. Oxford: Oxford University Press.</w:t>
      </w:r>
    </w:p>
    <w:p>
      <w:pPr>
        <w:pStyle w:val="BodyText"/>
      </w:pPr>
      <w:r>
        <w:t xml:space="preserve">Wimsatt, William C. (1987). False Models as Means to Truer Theories. In Neutral Models in Biology, ed. Matthew H. Nitecki and Antoni Hoffman (pp. 23–55). Oxford: Oxford University Press.</w:t>
      </w:r>
    </w:p>
    <w:p>
      <w:pPr>
        <w:pStyle w:val="BodyText"/>
      </w:pPr>
      <w:r>
        <w:t xml:space="preserve">Winder, William (1996). Textpert Systems. Text Technology 6, 3. Rpt. 1997, Computing in the Humanities Working Papers B.35. Accessed September 11, 2003. At http://www.chass.utoronto.ca/epc/chwp/winder2/.</w:t>
      </w:r>
    </w:p>
    <w:p>
      <w:pPr>
        <w:pStyle w:val="BodyText"/>
      </w:pPr>
      <w:r>
        <w:t xml:space="preserve">Winograd, Terry (1991). Thinking Machines: Can There Be? Are We? In The Boundaries of Humanity: Humans, Animals, Machines, ed. James J. Sheehan and Morton Sosna (pp. 198–223). Berkeley: University of California Press.</w:t>
      </w:r>
    </w:p>
    <w:p>
      <w:pPr>
        <w:pStyle w:val="BodyText"/>
      </w:pPr>
      <w:r>
        <w:t xml:space="preserve">Winograd, Terry and Fernando Flores (1986). Understanding Computers and Cognition: A New Foundation for Design. Boston: Addison-Wesley.</w:t>
      </w:r>
    </w:p>
    <w:p>
      <w:pPr>
        <w:pStyle w:val="BodyText"/>
      </w:pPr>
      <w:r>
        <w:t xml:space="preserve">Winsberg, Eric (2001). Simulations, Models, and Theories: Complex Physical Systems and Their Representations. Philosophy of Science (Proceedings) 68: S442–S454.</w:t>
      </w:r>
    </w:p>
    <w:p>
      <w:pPr>
        <w:pStyle w:val="BodyText"/>
      </w:pPr>
      <w:r>
        <w:t xml:space="preserve">Wood, Denis (1992). The Power of Maps. Mappings: Society/Theory/Space. London: Guilford Press.</w:t>
      </w:r>
    </w:p>
    <w:p>
      <w:pPr>
        <w:pStyle w:val="BodyText"/>
      </w:pPr>
      <w:r>
        <w:t xml:space="preserve">Ziman, John (2000). Real Science: What it Is, and What it Means. Cambridge: Cambridge University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9">
    <w:nsid w:val="ea454b4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num w:numId="1000">
    <w:abstractNumId w:val="990"/>
  </w:num>
  <w:num w:numId="100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kuoi.asui.uidaho.edu/~kamikaze/doc/minsky.html" TargetMode="External" /><Relationship Type="http://schemas.openxmlformats.org/officeDocument/2006/relationships/hyperlink" Id="rId21" Target="http://plato.stanford.edu/entries/physics-experiment" TargetMode="External" /><Relationship Type="http://schemas.openxmlformats.org/officeDocument/2006/relationships/hyperlink" Id="rId20" Target="http://plato.stanford.edu/entries/thought-experiment/" TargetMode="External" /></Relationships>
</file>

<file path=word/_rels/footnotes.xml.rels><?xml version="1.0" encoding="UTF-8"?>
<Relationships xmlns="http://schemas.openxmlformats.org/package/2006/relationships"><Relationship Type="http://schemas.openxmlformats.org/officeDocument/2006/relationships/hyperlink" Id="rId22" Target="http://kuoi.asui.uidaho.edu/~kamikaze/doc/minsky.html" TargetMode="External" /><Relationship Type="http://schemas.openxmlformats.org/officeDocument/2006/relationships/hyperlink" Id="rId21" Target="http://plato.stanford.edu/entries/physics-experiment" TargetMode="External" /><Relationship Type="http://schemas.openxmlformats.org/officeDocument/2006/relationships/hyperlink" Id="rId20" Target="http://plato.stanford.edu/entries/thought-exper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2020-11-02T23:35:09Z</dcterms:created>
  <dcterms:modified xsi:type="dcterms:W3CDTF">2020-11-02T23:35:09Z</dcterms:modified>
</cp:coreProperties>
</file>

<file path=docProps/custom.xml><?xml version="1.0" encoding="utf-8"?>
<Properties xmlns="http://schemas.openxmlformats.org/officeDocument/2006/custom-properties" xmlns:vt="http://schemas.openxmlformats.org/officeDocument/2006/docPropsVTypes"/>
</file>