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EE72" w14:textId="7BDD772C" w:rsidR="002E67C3" w:rsidRPr="002E67C3" w:rsidRDefault="00000000">
      <w:pPr>
        <w:pStyle w:val="Titel"/>
        <w:rPr>
          <w:b/>
          <w:bCs w:val="0"/>
        </w:rPr>
      </w:pPr>
      <w:r w:rsidRPr="002E67C3">
        <w:rPr>
          <w:b/>
          <w:bCs w:val="0"/>
        </w:rPr>
        <w:t>SUPPLEMENTARY MATERIAL</w:t>
      </w:r>
    </w:p>
    <w:p w14:paraId="6AC06B82" w14:textId="08DD87DD" w:rsidR="0014213B" w:rsidRPr="00664B46" w:rsidRDefault="00000000">
      <w:pPr>
        <w:pStyle w:val="Titel"/>
        <w:rPr>
          <w:b/>
          <w:bCs w:val="0"/>
        </w:rPr>
      </w:pPr>
      <w:r w:rsidRPr="00664B46">
        <w:rPr>
          <w:b/>
          <w:bCs w:val="0"/>
        </w:rPr>
        <w:t>Deixis in the Graphic Domain - Young Children’s Comprehension of Arrows and Markers</w:t>
      </w:r>
    </w:p>
    <w:p w14:paraId="6D87ABFA" w14:textId="77777777" w:rsidR="002E67C3" w:rsidRPr="002E67C3" w:rsidRDefault="002E67C3" w:rsidP="002E67C3">
      <w:pPr>
        <w:pStyle w:val="Textkrper"/>
      </w:pPr>
    </w:p>
    <w:p w14:paraId="72E959E7" w14:textId="77777777" w:rsidR="0014213B" w:rsidRDefault="00000000">
      <w:pPr>
        <w:pStyle w:val="Author"/>
      </w:pPr>
      <w:r>
        <w:t>Gregor Kachel</w:t>
      </w:r>
      <w:r>
        <w:rPr>
          <w:vertAlign w:val="superscript"/>
        </w:rPr>
        <w:t>1</w:t>
      </w:r>
      <w:r>
        <w:t>, Cathal O’Madagain</w:t>
      </w:r>
      <w:r>
        <w:rPr>
          <w:vertAlign w:val="superscript"/>
        </w:rPr>
        <w:t>2</w:t>
      </w:r>
      <w:r>
        <w:t>, Daniel Haun</w:t>
      </w:r>
      <w:r>
        <w:rPr>
          <w:vertAlign w:val="superscript"/>
        </w:rPr>
        <w:t>3</w:t>
      </w:r>
      <w:r>
        <w:t>, &amp; Manuel Bohn</w:t>
      </w:r>
      <w:r>
        <w:rPr>
          <w:vertAlign w:val="superscript"/>
        </w:rPr>
        <w:t>1,3</w:t>
      </w:r>
    </w:p>
    <w:p w14:paraId="7D2AE089" w14:textId="2BECD948" w:rsidR="0014213B" w:rsidRDefault="00000000">
      <w:pPr>
        <w:pStyle w:val="Author"/>
      </w:pPr>
      <w:r>
        <w:rPr>
          <w:vertAlign w:val="superscript"/>
        </w:rPr>
        <w:t>1</w:t>
      </w:r>
      <w:r>
        <w:t xml:space="preserve"> Leuphana University</w:t>
      </w:r>
      <w:r w:rsidR="002E67C3">
        <w:t>, Lüneburg</w:t>
      </w:r>
    </w:p>
    <w:p w14:paraId="70F4DE14" w14:textId="77777777" w:rsidR="0014213B" w:rsidRDefault="00000000">
      <w:pPr>
        <w:pStyle w:val="Author"/>
      </w:pPr>
      <w:r>
        <w:rPr>
          <w:vertAlign w:val="superscript"/>
        </w:rPr>
        <w:t>2</w:t>
      </w:r>
      <w:r>
        <w:t xml:space="preserve"> School of Collective Intelligence; Université Mohammed VI Polytechnique: Ben Guerir</w:t>
      </w:r>
    </w:p>
    <w:p w14:paraId="7CF89E45" w14:textId="1C7846A6" w:rsidR="0014213B" w:rsidRDefault="00000000">
      <w:pPr>
        <w:pStyle w:val="Author"/>
      </w:pPr>
      <w:r>
        <w:rPr>
          <w:vertAlign w:val="superscript"/>
        </w:rPr>
        <w:t>3</w:t>
      </w:r>
      <w:r>
        <w:t xml:space="preserve"> Max-Planck-Institute for Evolutionary Anthropology</w:t>
      </w:r>
      <w:r w:rsidR="002E67C3">
        <w:t>, Leipzig</w:t>
      </w:r>
    </w:p>
    <w:p w14:paraId="68DCCAC1" w14:textId="77777777" w:rsidR="0014213B" w:rsidRDefault="00000000">
      <w:pPr>
        <w:pStyle w:val="Textkrper"/>
      </w:pPr>
      <w:r>
        <w:t>                                                                                                                                                    </w:t>
      </w:r>
    </w:p>
    <w:p w14:paraId="795B3A88" w14:textId="77777777" w:rsidR="0014213B" w:rsidRDefault="00000000">
      <w:pPr>
        <w:pStyle w:val="Textkrper"/>
      </w:pPr>
      <w:r>
        <w:t> </w:t>
      </w:r>
    </w:p>
    <w:p w14:paraId="6D98932C" w14:textId="77777777" w:rsidR="0014213B" w:rsidRDefault="00000000">
      <w:pPr>
        <w:pStyle w:val="berschrift1"/>
      </w:pPr>
      <w:bookmarkStart w:id="0" w:name="literature-review"/>
      <w:r>
        <w:lastRenderedPageBreak/>
        <w:t>Literature Review</w:t>
      </w:r>
    </w:p>
    <w:p w14:paraId="1152E3FE" w14:textId="77777777" w:rsidR="0014213B" w:rsidRDefault="00000000">
      <w:pPr>
        <w:pStyle w:val="CaptionedFigure"/>
        <w:framePr w:wrap="notBeside"/>
      </w:pPr>
      <w:r>
        <w:rPr>
          <w:noProof/>
        </w:rPr>
        <w:drawing>
          <wp:inline distT="0" distB="0" distL="0" distR="0" wp14:anchorId="3AA1D19E" wp14:editId="6CF36267">
            <wp:extent cx="5670550" cy="2117518"/>
            <wp:effectExtent l="0" t="0" r="0" b="0"/>
            <wp:docPr id="20" name="Picture" descr="Figure 1: Overview of Task Paradigms and Cue Designs in Prior Literature. Note. Panel A illustrates a playing card as used by Lee et al. (1998), in which an agent in the center points an arrow toward one of four corner targets to indicate a preference. Panel B illustrates the object-choice task from Leekam et al. (2010), in which an experimenter holds a cut-out arrow above one of three hiding places. Panel C illustrates Study 1 from Jakobsen et al. (2013), where a printed arrow is placed between two hiding places, filling the intervening space. Panel D illustrates the screen-based attentional cueing task from Jakobsen et al. (2013, Study 2), showing the central attention-getter, the central arrow cue in middle of three target squares, and the target stimulus appearing in the cued square. Panel E depicts the stimulus variations from Jakobsen et al. (2013, Study 2): (1) weight-congruent, direction-congruent arrow; (2) weight-congruent square; (3) weight-congruent, direction-incongruent arrow; (4) balanced direction-congruent arrow; (5) balanced square; (6) balanced direction-incongruent arrow; (7) weight-incongruent, direction-congruent arrow; (8) weight-incongruent square; and (9) weight-incongruent, direction-incongruent arrow. All setups featuring a communicative agent (Panels A–C) confound arrow direction with spatial proximity. Jakobsen et al. (2013, Study 2; Panel D) found no directional effect on attentional cueing prior to age 5, suggesting that younger children’s attention is driven by perceptual features rather than symbolic meaning."/>
            <wp:cNvGraphicFramePr/>
            <a:graphic xmlns:a="http://schemas.openxmlformats.org/drawingml/2006/main">
              <a:graphicData uri="http://schemas.openxmlformats.org/drawingml/2006/picture">
                <pic:pic xmlns:pic="http://schemas.openxmlformats.org/drawingml/2006/picture">
                  <pic:nvPicPr>
                    <pic:cNvPr id="21" name="Picture" descr="symlit_arrows_supplement_files/2f8a5a96cfd6f217da63f6d92198d238f4faf6c9.png"/>
                    <pic:cNvPicPr>
                      <a:picLocks noChangeAspect="1" noChangeArrowheads="1"/>
                    </pic:cNvPicPr>
                  </pic:nvPicPr>
                  <pic:blipFill>
                    <a:blip r:embed="rId7"/>
                    <a:stretch>
                      <a:fillRect/>
                    </a:stretch>
                  </pic:blipFill>
                  <pic:spPr bwMode="auto">
                    <a:xfrm>
                      <a:off x="0" y="0"/>
                      <a:ext cx="5670550" cy="2117518"/>
                    </a:xfrm>
                    <a:prstGeom prst="rect">
                      <a:avLst/>
                    </a:prstGeom>
                    <a:noFill/>
                    <a:ln w="9525">
                      <a:noFill/>
                      <a:headEnd/>
                      <a:tailEnd/>
                    </a:ln>
                  </pic:spPr>
                </pic:pic>
              </a:graphicData>
            </a:graphic>
          </wp:inline>
        </w:drawing>
      </w:r>
    </w:p>
    <w:p w14:paraId="34014C22" w14:textId="77777777" w:rsidR="0014213B" w:rsidRPr="002E67C3" w:rsidRDefault="00000000" w:rsidP="002E67C3">
      <w:pPr>
        <w:pStyle w:val="ImageCaption"/>
        <w:jc w:val="both"/>
        <w:rPr>
          <w:sz w:val="22"/>
          <w:szCs w:val="22"/>
        </w:rPr>
      </w:pPr>
      <w:bookmarkStart w:id="1" w:name="fig:plot-review"/>
      <w:bookmarkEnd w:id="1"/>
      <w:r w:rsidRPr="002E67C3">
        <w:rPr>
          <w:i/>
          <w:iCs/>
          <w:sz w:val="22"/>
          <w:szCs w:val="22"/>
        </w:rPr>
        <w:t>Figure</w:t>
      </w:r>
      <w:r w:rsidRPr="002E67C3">
        <w:rPr>
          <w:sz w:val="22"/>
          <w:szCs w:val="22"/>
        </w:rPr>
        <w:t xml:space="preserve"> 1. </w:t>
      </w:r>
      <w:r w:rsidRPr="002E67C3">
        <w:rPr>
          <w:i/>
          <w:iCs/>
          <w:sz w:val="22"/>
          <w:szCs w:val="22"/>
        </w:rPr>
        <w:t>Overview of Task Paradigms and Cue Designs in Prior Literature.</w:t>
      </w:r>
      <w:r w:rsidRPr="002E67C3">
        <w:rPr>
          <w:sz w:val="22"/>
          <w:szCs w:val="22"/>
        </w:rPr>
        <w:t xml:space="preserve"> Note. Panel A illustrates a playing card as used by Lee et al. (1998), in which an agent in the center points an arrow toward one of four corner targets to indicate a preference. Panel B illustrates the object-choice task from Leekam et al. (2010), in which an experimenter holds a cut-out arrow above one of three hiding places. Panel C illustrates Study 1 from Jakobsen et al. (2013), where a printed arrow is placed between two hiding places, filling the intervening space. Panel D illustrates the screen-based attentional cueing task from Jakobsen et al. (2013, Study 2), showing the central attention-getter, the central arrow cue in middle of three target squares, and the target stimulus appearing in the cued square. Panel E depicts the stimulus variations from Jakobsen et al. (2013, Study 2): (1) weight-congruent, direction-congruent arrow; (2) weight-congruent square; (3) weight-congruent, direction-incongruent arrow; (4) balanced direction-congruent arrow; (5) balanced square; (6) balanced direction-incongruent arrow; (7) weight-incongruent, direction-congruent arrow; (8) weight-incongruent square; and (9) weight-incongruent, direction-incongruent arrow. All setups featuring a communicative agent (Panels A–C) confound arrow direction with spatial proximity. Jakobsen et al. (2013, Study 2; Panel D) found no directional effect on attentional cueing prior to age 5, suggesting that younger children’s attention is driven by perceptual features rather than symbolic meaning.</w:t>
      </w:r>
    </w:p>
    <w:p w14:paraId="30D28B6B" w14:textId="77777777" w:rsidR="0014213B" w:rsidRDefault="00000000">
      <w:r>
        <w:br w:type="page"/>
      </w:r>
    </w:p>
    <w:p w14:paraId="183B6443" w14:textId="77777777" w:rsidR="0014213B" w:rsidRDefault="00000000">
      <w:pPr>
        <w:pStyle w:val="berschrift1"/>
      </w:pPr>
      <w:bookmarkStart w:id="2" w:name="demographics"/>
      <w:bookmarkEnd w:id="0"/>
      <w:r>
        <w:lastRenderedPageBreak/>
        <w:t>Demographics</w:t>
      </w:r>
    </w:p>
    <w:p w14:paraId="39821065" w14:textId="77777777" w:rsidR="0014213B" w:rsidRDefault="00000000">
      <w:pPr>
        <w:pStyle w:val="CaptionedFigure"/>
        <w:framePr w:wrap="notBeside"/>
      </w:pPr>
      <w:r>
        <w:rPr>
          <w:noProof/>
        </w:rPr>
        <w:drawing>
          <wp:inline distT="0" distB="0" distL="0" distR="0" wp14:anchorId="5012F89C" wp14:editId="02D867CB">
            <wp:extent cx="5670550" cy="2232677"/>
            <wp:effectExtent l="0" t="0" r="0" b="0"/>
            <wp:docPr id="25" name="Picture" descr="Figure 2: Distribution of Participants across the age-range in all three studies. Dots represent individuals. Colors indicate their respective sex."/>
            <wp:cNvGraphicFramePr/>
            <a:graphic xmlns:a="http://schemas.openxmlformats.org/drawingml/2006/main">
              <a:graphicData uri="http://schemas.openxmlformats.org/drawingml/2006/picture">
                <pic:pic xmlns:pic="http://schemas.openxmlformats.org/drawingml/2006/picture">
                  <pic:nvPicPr>
                    <pic:cNvPr id="26" name="Picture" descr="symlit_arrows_supplement_files/7d5d66028fd93277507c0db771d2724dcf328394.png"/>
                    <pic:cNvPicPr>
                      <a:picLocks noChangeAspect="1" noChangeArrowheads="1"/>
                    </pic:cNvPicPr>
                  </pic:nvPicPr>
                  <pic:blipFill>
                    <a:blip r:embed="rId8"/>
                    <a:stretch>
                      <a:fillRect/>
                    </a:stretch>
                  </pic:blipFill>
                  <pic:spPr bwMode="auto">
                    <a:xfrm>
                      <a:off x="0" y="0"/>
                      <a:ext cx="5670550" cy="2232677"/>
                    </a:xfrm>
                    <a:prstGeom prst="rect">
                      <a:avLst/>
                    </a:prstGeom>
                    <a:noFill/>
                    <a:ln w="9525">
                      <a:noFill/>
                      <a:headEnd/>
                      <a:tailEnd/>
                    </a:ln>
                  </pic:spPr>
                </pic:pic>
              </a:graphicData>
            </a:graphic>
          </wp:inline>
        </w:drawing>
      </w:r>
    </w:p>
    <w:p w14:paraId="4DBBB30E" w14:textId="77777777" w:rsidR="0014213B" w:rsidRDefault="00000000">
      <w:pPr>
        <w:pStyle w:val="ImageCaption"/>
      </w:pPr>
      <w:bookmarkStart w:id="3" w:name="fig:suppl-participants-plot"/>
      <w:bookmarkEnd w:id="3"/>
      <w:r>
        <w:rPr>
          <w:i/>
          <w:iCs/>
        </w:rPr>
        <w:t>Figure</w:t>
      </w:r>
      <w:r>
        <w:t xml:space="preserve"> 2. Distribution of Participants across the age-range in all three studies. Dots represent individuals. Colors indicate their respective sex.</w:t>
      </w:r>
    </w:p>
    <w:p w14:paraId="34D0FB0D" w14:textId="77777777" w:rsidR="0014213B" w:rsidRDefault="00000000">
      <w:pPr>
        <w:pStyle w:val="CaptionedFigure"/>
        <w:framePr w:wrap="notBeside"/>
      </w:pPr>
      <w:r>
        <w:rPr>
          <w:noProof/>
        </w:rPr>
        <w:drawing>
          <wp:inline distT="0" distB="0" distL="0" distR="0" wp14:anchorId="43129889" wp14:editId="3B7285AE">
            <wp:extent cx="5670550" cy="2248013"/>
            <wp:effectExtent l="0" t="0" r="0" b="0"/>
            <wp:docPr id="29" name="Picture" descr="Figure 3: Distribution of Exclusions across the age-range in all three studies. Dots represent individuals. Colors indicate why children where not submitted to analyses."/>
            <wp:cNvGraphicFramePr/>
            <a:graphic xmlns:a="http://schemas.openxmlformats.org/drawingml/2006/main">
              <a:graphicData uri="http://schemas.openxmlformats.org/drawingml/2006/picture">
                <pic:pic xmlns:pic="http://schemas.openxmlformats.org/drawingml/2006/picture">
                  <pic:nvPicPr>
                    <pic:cNvPr id="30" name="Picture" descr="symlit_arrows_supplement_files/8cc297a99d525c60b23437790c25349e6270bd0b.png"/>
                    <pic:cNvPicPr>
                      <a:picLocks noChangeAspect="1" noChangeArrowheads="1"/>
                    </pic:cNvPicPr>
                  </pic:nvPicPr>
                  <pic:blipFill>
                    <a:blip r:embed="rId9"/>
                    <a:stretch>
                      <a:fillRect/>
                    </a:stretch>
                  </pic:blipFill>
                  <pic:spPr bwMode="auto">
                    <a:xfrm>
                      <a:off x="0" y="0"/>
                      <a:ext cx="5670550" cy="2248013"/>
                    </a:xfrm>
                    <a:prstGeom prst="rect">
                      <a:avLst/>
                    </a:prstGeom>
                    <a:noFill/>
                    <a:ln w="9525">
                      <a:noFill/>
                      <a:headEnd/>
                      <a:tailEnd/>
                    </a:ln>
                  </pic:spPr>
                </pic:pic>
              </a:graphicData>
            </a:graphic>
          </wp:inline>
        </w:drawing>
      </w:r>
    </w:p>
    <w:p w14:paraId="503BE8D4" w14:textId="77777777" w:rsidR="0014213B" w:rsidRDefault="00000000">
      <w:pPr>
        <w:pStyle w:val="ImageCaption"/>
      </w:pPr>
      <w:bookmarkStart w:id="4" w:name="fig:suppl-drop-plot"/>
      <w:bookmarkEnd w:id="4"/>
      <w:r>
        <w:rPr>
          <w:i/>
          <w:iCs/>
        </w:rPr>
        <w:t>Figure</w:t>
      </w:r>
      <w:r>
        <w:t xml:space="preserve"> 3. Distribution of Exclusions across the age-range in all three studies. Dots represent individuals. Colors indicate why children where not submitted to analyses.</w:t>
      </w:r>
    </w:p>
    <w:p w14:paraId="255FF551" w14:textId="77777777" w:rsidR="0014213B" w:rsidRDefault="00000000">
      <w:r>
        <w:br w:type="page"/>
      </w:r>
    </w:p>
    <w:p w14:paraId="6D52F845" w14:textId="77777777" w:rsidR="0014213B" w:rsidRDefault="00000000">
      <w:pPr>
        <w:pStyle w:val="berschrift1"/>
      </w:pPr>
      <w:bookmarkStart w:id="5" w:name="descriptives-and-conventional-analyses"/>
      <w:bookmarkEnd w:id="2"/>
      <w:r>
        <w:lastRenderedPageBreak/>
        <w:t>Descriptives and Conventional Analyses</w:t>
      </w:r>
    </w:p>
    <w:p w14:paraId="230B52B9" w14:textId="77777777" w:rsidR="0014213B" w:rsidRDefault="00000000">
      <w:pPr>
        <w:pStyle w:val="TableCaption"/>
      </w:pPr>
      <w:bookmarkStart w:id="6" w:name="tab:suppl-descrtable"/>
      <w:bookmarkEnd w:id="6"/>
      <w:r>
        <w:t>Table 1: Descriptives and Conventional Analyses</w:t>
      </w:r>
    </w:p>
    <w:tbl>
      <w:tblPr>
        <w:tblW w:w="5000" w:type="pct"/>
        <w:jc w:val="center"/>
        <w:tblLook w:val="0420" w:firstRow="1" w:lastRow="0" w:firstColumn="0" w:lastColumn="0" w:noHBand="0" w:noVBand="1"/>
      </w:tblPr>
      <w:tblGrid>
        <w:gridCol w:w="761"/>
        <w:gridCol w:w="1515"/>
        <w:gridCol w:w="828"/>
        <w:gridCol w:w="441"/>
        <w:gridCol w:w="844"/>
        <w:gridCol w:w="721"/>
        <w:gridCol w:w="746"/>
        <w:gridCol w:w="578"/>
        <w:gridCol w:w="794"/>
        <w:gridCol w:w="794"/>
        <w:gridCol w:w="447"/>
        <w:gridCol w:w="808"/>
        <w:gridCol w:w="695"/>
      </w:tblGrid>
      <w:tr w:rsidR="0014213B" w:rsidRPr="00210C84" w14:paraId="2DB67C9D" w14:textId="77777777" w:rsidTr="0058239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714D2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Study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AA027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Condition</w:t>
            </w:r>
          </w:p>
        </w:tc>
        <w:tc>
          <w:tcPr>
            <w:tcW w:w="415"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A2CC67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Age Group</w:t>
            </w:r>
          </w:p>
        </w:tc>
        <w:tc>
          <w:tcPr>
            <w:tcW w:w="221"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C701D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9EBF4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1C80F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M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8BD4A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SD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6AC7F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N suc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E87184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 suc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FBABD2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t</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F7297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FF22E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EA11B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d</w:t>
            </w:r>
          </w:p>
        </w:tc>
      </w:tr>
      <w:tr w:rsidR="0014213B" w:rsidRPr="00210C84" w14:paraId="624D6BD1" w14:textId="77777777" w:rsidTr="0058239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7526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Study 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1ECB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Arrow</w:t>
            </w:r>
          </w:p>
        </w:tc>
        <w:tc>
          <w:tcPr>
            <w:tcW w:w="415"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2655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2-year-olds</w:t>
            </w:r>
          </w:p>
        </w:tc>
        <w:tc>
          <w:tcPr>
            <w:tcW w:w="221"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6C46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9585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7.67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DFE6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53.12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5B3A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17.64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AA9C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0C88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8.33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ADA8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0.87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D8EC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B7B8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0.394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EC0F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0.18</w:t>
            </w:r>
          </w:p>
        </w:tc>
      </w:tr>
      <w:tr w:rsidR="0014213B" w:rsidRPr="00210C84" w14:paraId="56DA3AEA"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E1195"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5671B"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158D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913E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C834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5A4F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67.41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5A37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26.55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C037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E994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BA5A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E7BC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FCDD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8D32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0.66</w:t>
            </w:r>
          </w:p>
        </w:tc>
      </w:tr>
      <w:tr w:rsidR="0014213B" w:rsidRPr="00210C84" w14:paraId="2E2625D8"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30DA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C589"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CEFC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6E14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C7D8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F0F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32C0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D30F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CF39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A8D2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4DC3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10C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DAA9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1.71</w:t>
            </w:r>
          </w:p>
        </w:tc>
      </w:tr>
      <w:tr w:rsidR="0014213B" w:rsidRPr="00210C84" w14:paraId="653710E3"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691C9"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375F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Marker</w:t>
            </w: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1ED3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6E27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B275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0A68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1107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37.17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1581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DEA7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29.17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884D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DDD9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AB26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0.689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A533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0.08</w:t>
            </w:r>
          </w:p>
        </w:tc>
      </w:tr>
      <w:tr w:rsidR="0014213B" w:rsidRPr="00210C84" w14:paraId="465FB844"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FBF3E"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85AC9"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F796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160F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12B4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5E83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76.04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A8EF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34.36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ADB9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7FFF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43A3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B323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3469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724E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0.76</w:t>
            </w:r>
          </w:p>
        </w:tc>
      </w:tr>
      <w:tr w:rsidR="0014213B" w:rsidRPr="00210C84" w14:paraId="712B1A4E"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CD654"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73540"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29ED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42F4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60E0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529E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6BEB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38.60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F6D4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07E8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4032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9A27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BA5F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A1D8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0.76</w:t>
            </w:r>
          </w:p>
        </w:tc>
      </w:tr>
      <w:tr w:rsidR="0014213B" w:rsidRPr="00210C84" w14:paraId="0A7EC20A"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D1BD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Study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3057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Congruent</w:t>
            </w: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57CB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DAA0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0C7E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2B2D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61.57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33FC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2FAE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632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AB73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39BC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D447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780A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0.51</w:t>
            </w:r>
          </w:p>
        </w:tc>
      </w:tr>
      <w:tr w:rsidR="0014213B" w:rsidRPr="00210C84" w14:paraId="420BE8ED"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69E6C"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8763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B114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3156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9023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78E4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84.78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991B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79FC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952A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4EE2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1BA1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DEA4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1E71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1.38</w:t>
            </w:r>
          </w:p>
        </w:tc>
      </w:tr>
      <w:tr w:rsidR="0014213B" w:rsidRPr="00210C84" w14:paraId="6EE1E9C2"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39826"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0D1A7"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7EA6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53F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78BB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8BD6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92.00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7204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D905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6556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84D4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9815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4040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B726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2.09</w:t>
            </w:r>
          </w:p>
        </w:tc>
      </w:tr>
      <w:tr w:rsidR="0014213B" w:rsidRPr="00210C84" w14:paraId="030A2C47"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1A4B8"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920C0"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A53F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5-year-olds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4325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C77B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8A8C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99.52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FAE3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B383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9683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F903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103.00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D964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C0AD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9F35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20.20</w:t>
            </w:r>
          </w:p>
        </w:tc>
      </w:tr>
      <w:tr w:rsidR="0014213B" w:rsidRPr="00210C84" w14:paraId="7DB94149"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14C14"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05C2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Incongruent</w:t>
            </w: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C408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528C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A460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DCF1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33.90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F717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FB0B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B9DA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A74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CE43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C36C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D27B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0.64</w:t>
            </w:r>
          </w:p>
        </w:tc>
      </w:tr>
      <w:tr w:rsidR="0014213B" w:rsidRPr="00210C84" w14:paraId="2E9C9B20"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A9B8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CAC28"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563E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5979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44D9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0C73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72F0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9D5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45B5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FD49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B9E7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B0D8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1D24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0.35</w:t>
            </w:r>
          </w:p>
        </w:tc>
      </w:tr>
      <w:tr w:rsidR="0014213B" w:rsidRPr="00210C84" w14:paraId="7C49B94F"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7F058"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C3203"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7995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1BEE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63F4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71F1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51.50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0EFD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44.09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E5C0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C7C1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13D2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3968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2639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0.866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3EB6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0.03</w:t>
            </w:r>
          </w:p>
        </w:tc>
      </w:tr>
      <w:tr w:rsidR="0014213B" w:rsidRPr="00210C84" w14:paraId="7A38F554"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6FA1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44D7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BDE2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5-year-olds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5C8B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30DA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0417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77.82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D7FF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283D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7AA0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3158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EACD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C68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18CF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0.69</w:t>
            </w:r>
          </w:p>
        </w:tc>
      </w:tr>
      <w:tr w:rsidR="0014213B" w:rsidRPr="00210C84" w14:paraId="2E57179A"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89A6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Study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8BAF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Unconventional</w:t>
            </w: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8485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C834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4374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A1AA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62.33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C58E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C25A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E7D2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3D4B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4A6B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C3E0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3747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0.61</w:t>
            </w:r>
          </w:p>
        </w:tc>
      </w:tr>
      <w:tr w:rsidR="0014213B" w:rsidRPr="00210C84" w14:paraId="774E9F8C" w14:textId="77777777" w:rsidTr="0058239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E312EC8"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DCA59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C88FA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4-year-olds</w:t>
            </w:r>
          </w:p>
        </w:tc>
        <w:tc>
          <w:tcPr>
            <w:tcW w:w="221" w:type="pct"/>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3AF92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75ACD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19.30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174226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86.74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59682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16.49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FE18C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6097E8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86.96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47108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10.69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50DF1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38B07A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B0DE5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2.23</w:t>
            </w:r>
          </w:p>
        </w:tc>
      </w:tr>
      <w:tr w:rsidR="0014213B" w14:paraId="5729A733" w14:textId="77777777" w:rsidTr="00582397">
        <w:trPr>
          <w:jc w:val="center"/>
        </w:trPr>
        <w:tc>
          <w:tcPr>
            <w:tcW w:w="0" w:type="auto"/>
            <w:gridSpan w:val="13"/>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4BA5F0" w14:textId="77777777" w:rsidR="0014213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*Trials* = total trials across participants; *Trials/N* = average per participant. Performance (*M*, *SD*) is percent of correct responses. *N suc* and *% suc* show number and percent of individuals above chance. *t*, *df*, *p* and *d* reflect one-sample t-tests against chance level (0.5).</w:t>
            </w:r>
          </w:p>
        </w:tc>
      </w:tr>
    </w:tbl>
    <w:p w14:paraId="24D8BEB5" w14:textId="77777777" w:rsidR="00582397" w:rsidRDefault="00582397">
      <w:pPr>
        <w:pStyle w:val="berschrift1"/>
      </w:pPr>
      <w:bookmarkStart w:id="7" w:name="model-diagnostics-and-comparisons"/>
      <w:bookmarkEnd w:id="5"/>
    </w:p>
    <w:p w14:paraId="1BCA5F20" w14:textId="77777777" w:rsidR="00582397" w:rsidRDefault="00582397">
      <w:pPr>
        <w:spacing w:before="0" w:after="200" w:line="240" w:lineRule="auto"/>
        <w:rPr>
          <w:rFonts w:eastAsiaTheme="majorEastAsia" w:cstheme="majorBidi"/>
          <w:b/>
          <w:bCs/>
          <w:szCs w:val="32"/>
        </w:rPr>
      </w:pPr>
      <w:r>
        <w:br w:type="page"/>
      </w:r>
    </w:p>
    <w:p w14:paraId="74004683" w14:textId="2A18FDB9" w:rsidR="0014213B" w:rsidRDefault="00000000">
      <w:pPr>
        <w:pStyle w:val="berschrift1"/>
      </w:pPr>
      <w:r>
        <w:lastRenderedPageBreak/>
        <w:t>Model Diagnostics and Comparisons</w:t>
      </w:r>
    </w:p>
    <w:p w14:paraId="499DFA83" w14:textId="77777777" w:rsidR="0014213B" w:rsidRDefault="00000000">
      <w:pPr>
        <w:pStyle w:val="berschrift2"/>
      </w:pPr>
      <w:bookmarkStart w:id="8" w:name="study-1"/>
      <w:r>
        <w:t>Study 1</w:t>
      </w:r>
    </w:p>
    <w:p w14:paraId="4CA05539" w14:textId="5CBDF7EB" w:rsidR="0014213B" w:rsidRPr="007B4308" w:rsidRDefault="00000000" w:rsidP="00582397">
      <w:pPr>
        <w:pStyle w:val="FirstParagraph"/>
        <w:jc w:val="both"/>
      </w:pPr>
      <w:r w:rsidRPr="007B4308">
        <w:t>In Study 1, we compared the performance of a full model (</w:t>
      </w:r>
      <m:oMath>
        <m:r>
          <w:rPr>
            <w:rFonts w:ascii="Cambria Math" w:hAnsi="Cambria Math"/>
          </w:rPr>
          <m:t>correct</m:t>
        </m:r>
        <m:r>
          <m:rPr>
            <m:sty m:val="p"/>
          </m:rPr>
          <w:rPr>
            <w:rFonts w:ascii="Cambria Math" w:hAnsi="Cambria Math"/>
          </w:rPr>
          <m:t>∼</m:t>
        </m:r>
        <m:r>
          <w:rPr>
            <w:rFonts w:ascii="Cambria Math" w:hAnsi="Cambria Math"/>
          </w:rPr>
          <m:t>condition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rsidRPr="007B4308">
        <w:t xml:space="preserve">) with a reduced model lacking the interaction of condition and </w:t>
      </w:r>
      <w:r w:rsidR="00582397" w:rsidRPr="007B4308">
        <w:t>age.</w:t>
      </w:r>
      <w:r w:rsidRPr="007B4308">
        <w:t xml:space="preserve"> Effective sample sizes for all fixed effects in the full model (Bulk ESS, </w:t>
      </w:r>
      <m:oMath>
        <m:r>
          <w:rPr>
            <w:rFonts w:ascii="Cambria Math" w:hAnsi="Cambria Math"/>
          </w:rPr>
          <m:t>M</m:t>
        </m:r>
      </m:oMath>
      <w:r w:rsidRPr="007B4308">
        <w:t xml:space="preserve"> = 6734, range 1833 - 12770) and the reduced model (Bulk ESS, </w:t>
      </w:r>
      <m:oMath>
        <m:r>
          <w:rPr>
            <w:rFonts w:ascii="Cambria Math" w:hAnsi="Cambria Math"/>
          </w:rPr>
          <m:t>M</m:t>
        </m:r>
      </m:oMath>
      <w:r w:rsidRPr="007B4308">
        <w:t xml:space="preserve"> = 5685, range 1774-12799) were &gt;1000, indicating reliable posterior estimations. Posterior predictive checks (PPC) indicated excellent fit of the observed data, and Rhat values in both models were equal to one for both the full and reduced model. The Widely Applicable Information Criterion (WAIC) for the full (WAIC = 1,118.43) and the reduced model (WAIC = 1116) are almost identical. Comparing weights based on the WAIC yielded 0% of the model weight for the full model, and 100% for the reduced model, strongly favoring the simpler model lacking the interaction of age and condition. At the same time, comparison of the models’ WAIC using expected log predictive density (ELPD) shows that this difference is not statistically meaningful (ELPD WAIC; full model = -559.21; reduced model = -558). The standard error of the difference in predictive accuracy (</w:t>
      </w:r>
      <m:oMath>
        <m:r>
          <w:rPr>
            <w:rFonts w:ascii="Cambria Math" w:hAnsi="Cambria Math"/>
          </w:rPr>
          <m:t>SE</m:t>
        </m:r>
      </m:oMath>
      <w:r w:rsidRPr="007B4308">
        <w:t xml:space="preserve"> = 0.50) shows that the difference itself (ELPD diff = -1.21) is negligible. In the absence of conclusive evidence for either model, we report estimates from the full model in line with the preregistration.</w:t>
      </w:r>
    </w:p>
    <w:p w14:paraId="3DF2392F" w14:textId="77777777" w:rsidR="0014213B" w:rsidRDefault="00000000">
      <w:pPr>
        <w:pStyle w:val="TableCaption"/>
      </w:pPr>
      <w:bookmarkStart w:id="9" w:name="tab:suppl-S1-coef-table"/>
      <w:bookmarkEnd w:id="9"/>
      <w:r>
        <w:t>Table 2: Study 1 - Posterior Estimates for the Full Model.</w:t>
      </w:r>
    </w:p>
    <w:tbl>
      <w:tblPr>
        <w:tblW w:w="0" w:type="pct"/>
        <w:jc w:val="center"/>
        <w:tblLook w:val="0420" w:firstRow="1" w:lastRow="0" w:firstColumn="0" w:lastColumn="0" w:noHBand="0" w:noVBand="1"/>
      </w:tblPr>
      <w:tblGrid>
        <w:gridCol w:w="1936"/>
        <w:gridCol w:w="1485"/>
        <w:gridCol w:w="921"/>
        <w:gridCol w:w="1111"/>
        <w:gridCol w:w="1667"/>
        <w:gridCol w:w="1489"/>
        <w:gridCol w:w="1363"/>
      </w:tblGrid>
      <w:tr w:rsidR="0014213B" w14:paraId="2A28EEB9"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8892E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7743D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7245E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EEF9A1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F8080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59B98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32E817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Tail ESS</w:t>
            </w:r>
          </w:p>
        </w:tc>
      </w:tr>
      <w:tr w:rsidR="0014213B" w14:paraId="20726BCD"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AEFC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E459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1967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530E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3306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[0.58, 1.80]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457E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2,029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DF2A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3,482</w:t>
            </w:r>
          </w:p>
        </w:tc>
      </w:tr>
      <w:tr w:rsidR="0014213B" w14:paraId="0B9D2F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E525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Arrow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B12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BFD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E8E6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8D9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[-0.23, 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7ABB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12,770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3194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7,545</w:t>
            </w:r>
          </w:p>
        </w:tc>
      </w:tr>
      <w:tr w:rsidR="0014213B" w14:paraId="292DC72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CCD3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A486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81D1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1B3E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B07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[0.48, 1.50]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52E2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2,064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9903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3,856</w:t>
            </w:r>
          </w:p>
        </w:tc>
      </w:tr>
      <w:tr w:rsidR="0014213B" w14:paraId="545D84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ECA3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1452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79FF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0D80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BF30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 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680B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10,674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6043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8,117</w:t>
            </w:r>
          </w:p>
        </w:tc>
      </w:tr>
      <w:tr w:rsidR="0014213B" w14:paraId="0CC78C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9DB6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3576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D322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B032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ACF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[-0.75, 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D13C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1,833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C265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3,204</w:t>
            </w:r>
          </w:p>
        </w:tc>
      </w:tr>
      <w:tr w:rsidR="0014213B" w14:paraId="6A8899FB"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E71935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Arrow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2DC4D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4E58FA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0.18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5C5A75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0.18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AB1264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[-0.27, 0.42]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16F0D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11,035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229A5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7,645</w:t>
            </w:r>
          </w:p>
        </w:tc>
      </w:tr>
      <w:tr w:rsidR="0014213B" w14:paraId="20954498"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8814DE" w14:textId="77777777" w:rsidR="0014213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41591FA5" w14:textId="69FFA270" w:rsidR="0014213B" w:rsidRDefault="00582397">
      <w:pPr>
        <w:pStyle w:val="berschrift2"/>
      </w:pPr>
      <w:bookmarkStart w:id="10" w:name="study-2"/>
      <w:bookmarkEnd w:id="8"/>
      <w:r>
        <w:lastRenderedPageBreak/>
        <w:t>S</w:t>
      </w:r>
      <w:r w:rsidR="00000000">
        <w:t>tudy 2</w:t>
      </w:r>
    </w:p>
    <w:p w14:paraId="4EEB1F73" w14:textId="3E3588CB" w:rsidR="00582397" w:rsidRPr="00582397" w:rsidRDefault="00000000" w:rsidP="00AE0127">
      <w:pPr>
        <w:pStyle w:val="FirstParagraph"/>
        <w:jc w:val="both"/>
      </w:pPr>
      <w:r w:rsidRPr="007B4308">
        <w:t>Analyses in Study 2 followed the same rationale as in Study 1 and compared the performance of a full model (</w:t>
      </w:r>
      <m:oMath>
        <m:r>
          <w:rPr>
            <w:rFonts w:ascii="Cambria Math" w:hAnsi="Cambria Math"/>
          </w:rPr>
          <m:t>correct</m:t>
        </m:r>
        <m:r>
          <m:rPr>
            <m:sty m:val="p"/>
          </m:rPr>
          <w:rPr>
            <w:rFonts w:ascii="Cambria Math" w:hAnsi="Cambria Math"/>
          </w:rPr>
          <m:t>∼</m:t>
        </m:r>
        <m:r>
          <w:rPr>
            <w:rFonts w:ascii="Cambria Math" w:hAnsi="Cambria Math"/>
          </w:rPr>
          <m:t>condition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rsidRPr="007B4308">
        <w:t>) with a reduced model lacking the interaction of condition and age (</w:t>
      </w:r>
      <m:oMath>
        <m:r>
          <w:rPr>
            <w:rFonts w:ascii="Cambria Math" w:hAnsi="Cambria Math"/>
          </w:rPr>
          <m:t>correct</m:t>
        </m:r>
        <m:r>
          <m:rPr>
            <m:sty m:val="p"/>
          </m:rPr>
          <w:rPr>
            <w:rFonts w:ascii="Cambria Math" w:hAnsi="Cambria Math"/>
          </w:rPr>
          <m:t>∼</m:t>
        </m:r>
        <m:r>
          <w:rPr>
            <w:rFonts w:ascii="Cambria Math" w:hAnsi="Cambria Math"/>
          </w:rPr>
          <m:t>condition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rsidRPr="007B4308">
        <w:t xml:space="preserve">). Effective sample sizes for all fixed effects in the full model (Bulk ESS, </w:t>
      </w:r>
      <m:oMath>
        <m:r>
          <w:rPr>
            <w:rFonts w:ascii="Cambria Math" w:hAnsi="Cambria Math"/>
          </w:rPr>
          <m:t>M</m:t>
        </m:r>
      </m:oMath>
      <w:r w:rsidRPr="007B4308">
        <w:t xml:space="preserve"> = 6741, range 2433 - 16200) and the reduced model (Bulk ESS, </w:t>
      </w:r>
      <m:oMath>
        <m:r>
          <w:rPr>
            <w:rFonts w:ascii="Cambria Math" w:hAnsi="Cambria Math"/>
          </w:rPr>
          <m:t>M</m:t>
        </m:r>
      </m:oMath>
      <w:r w:rsidRPr="007B4308">
        <w:t xml:space="preserve"> =5573, range 1975-10819) were &gt;1000, indicating reliable posterior estimations. For both models, PPCs indicated excellent fit, and Rhat values were equal to one. There full model’s WAIC score is over 50 lower for the full model (WAIC = -551.30) as opposed to the reduced model (WAIC = -605.54), providing decisive evidence in favor of the full model. The gain in fit resulting from including an interaction of age and condition justifies the additional complexity. This is corroborated by comparing weights based on the WAIC: the full model gains 97.56% of the model weight, whereas only 2.44% of the weight is allocated to the reduced model. Finally, a comparison of the models’ WAIC via ELPD shows that the difference (ELPD diff = -54.24) is much larger than its standard error (</w:t>
      </w:r>
      <m:oMath>
        <m:r>
          <w:rPr>
            <w:rFonts w:ascii="Cambria Math" w:hAnsi="Cambria Math"/>
          </w:rPr>
          <m:t>SE</m:t>
        </m:r>
      </m:oMath>
      <w:r w:rsidRPr="007B4308">
        <w:t xml:space="preserve"> = 9.85), showing that the full model would predict out of sample data much more accurately. In line with these results, we report estimates from the full model.</w:t>
      </w:r>
      <w:bookmarkStart w:id="11" w:name="tab:suppl-S2-coef-table"/>
      <w:bookmarkEnd w:id="11"/>
    </w:p>
    <w:p w14:paraId="465A5585" w14:textId="76DE0470" w:rsidR="0014213B" w:rsidRDefault="00000000" w:rsidP="00582397">
      <w:pPr>
        <w:pStyle w:val="FirstParagraph"/>
      </w:pPr>
      <w:r>
        <w:t>Table 3: Study 2 - Posterior Estimates for the Full Model.</w:t>
      </w:r>
    </w:p>
    <w:tbl>
      <w:tblPr>
        <w:tblW w:w="0" w:type="pct"/>
        <w:jc w:val="center"/>
        <w:tblLook w:val="0420" w:firstRow="1" w:lastRow="0" w:firstColumn="0" w:lastColumn="0" w:noHBand="0" w:noVBand="1"/>
      </w:tblPr>
      <w:tblGrid>
        <w:gridCol w:w="2365"/>
        <w:gridCol w:w="1402"/>
        <w:gridCol w:w="870"/>
        <w:gridCol w:w="1049"/>
        <w:gridCol w:w="1615"/>
        <w:gridCol w:w="1396"/>
        <w:gridCol w:w="1275"/>
      </w:tblGrid>
      <w:tr w:rsidR="0014213B" w14:paraId="7B357BD6"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8FA70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08B8D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A7505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EC203B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14F20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959DA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CE08D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Tail ESS</w:t>
            </w:r>
          </w:p>
        </w:tc>
      </w:tr>
      <w:tr w:rsidR="0014213B" w14:paraId="03DB9FB1"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CC43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15B8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4.06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0740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FF64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8C5E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[3.21, 4.99]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E332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3,031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C094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5,395</w:t>
            </w:r>
          </w:p>
        </w:tc>
      </w:tr>
      <w:tr w:rsidR="0014213B" w14:paraId="5F5A4B5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9E8B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Incongruent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0D2A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D156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BAD2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E474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[-4.80, -3.56]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1124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7,605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83E4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8,053</w:t>
            </w:r>
          </w:p>
        </w:tc>
      </w:tr>
      <w:tr w:rsidR="0014213B" w14:paraId="3B9A13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913C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7DA6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3AFC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C901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0677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[2.30, 3.62]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56F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3,784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DC70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5,847</w:t>
            </w:r>
          </w:p>
        </w:tc>
      </w:tr>
      <w:tr w:rsidR="0014213B" w14:paraId="0A4A5A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E67D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70B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B96A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FE4C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88B2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 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EF70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16,200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70F8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6,233</w:t>
            </w:r>
          </w:p>
        </w:tc>
      </w:tr>
      <w:tr w:rsidR="0014213B" w14:paraId="68170FC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E43B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7F7B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7824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D79E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FE1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[0.13, 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57F2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2,433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C3AC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4,478</w:t>
            </w:r>
          </w:p>
        </w:tc>
      </w:tr>
      <w:tr w:rsidR="0014213B" w14:paraId="1F147E06"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C4FCF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Incongruent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2967F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E877A6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708AC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89C73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[-2.35, -1.39]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6AB923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7,393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F154C1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7,829</w:t>
            </w:r>
          </w:p>
        </w:tc>
      </w:tr>
      <w:tr w:rsidR="0014213B" w14:paraId="003F66CF"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0336F3D" w14:textId="77777777" w:rsidR="0014213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0F6843CE" w14:textId="3149C313" w:rsidR="0014213B" w:rsidRDefault="00000000" w:rsidP="007B4308">
      <w:pPr>
        <w:pStyle w:val="berschrift2"/>
      </w:pPr>
      <w:r>
        <w:br w:type="page"/>
      </w:r>
      <w:bookmarkStart w:id="12" w:name="study-3"/>
      <w:bookmarkEnd w:id="10"/>
      <w:r w:rsidR="007B4308">
        <w:lastRenderedPageBreak/>
        <w:t>Study 3</w:t>
      </w:r>
    </w:p>
    <w:p w14:paraId="2DFDDDC6" w14:textId="77777777" w:rsidR="0014213B" w:rsidRDefault="00000000" w:rsidP="00582397">
      <w:pPr>
        <w:pStyle w:val="FirstParagraph"/>
        <w:jc w:val="both"/>
      </w:pPr>
      <w:r w:rsidRPr="007B4308">
        <w:t>For Study 3, we compared an full model (</w:t>
      </w:r>
      <m:oMath>
        <m:r>
          <w:rPr>
            <w:rFonts w:ascii="Cambria Math" w:hAnsi="Cambria Math"/>
          </w:rPr>
          <m:t>correct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cuetype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rsidRPr="007B4308">
        <w:t>) with a random slope of age within cue type with a reduced model (</w:t>
      </w:r>
      <m:oMath>
        <m:r>
          <w:rPr>
            <w:rFonts w:ascii="Cambria Math" w:hAnsi="Cambria Math"/>
          </w:rPr>
          <m:t>correct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rsidRPr="007B4308">
        <w:t xml:space="preserve">) lacking this random slope. In Study 3, effective sample sizes for all fixed effects in the full model (Bulk ESS, </w:t>
      </w:r>
      <m:oMath>
        <m:r>
          <w:rPr>
            <w:rFonts w:ascii="Cambria Math" w:hAnsi="Cambria Math"/>
          </w:rPr>
          <m:t>M</m:t>
        </m:r>
      </m:oMath>
      <w:r w:rsidRPr="007B4308">
        <w:t xml:space="preserve"> = 4469, range 3834 - 5614) and the reduced model (Bulk ESS, </w:t>
      </w:r>
      <m:oMath>
        <m:r>
          <w:rPr>
            <w:rFonts w:ascii="Cambria Math" w:hAnsi="Cambria Math"/>
          </w:rPr>
          <m:t>M</m:t>
        </m:r>
      </m:oMath>
      <w:r w:rsidRPr="007B4308">
        <w:t xml:space="preserve"> =2615, range 2291-3142) indicated reliable posterior estimations. For both models, posterior predictive checks (PPC) yielded excellent fit, and Rhat values were equal to one. The WAIC scores for the full model (ELPD WAIC = -423.13) and the reduced model (ELPD WAIC = -422) are almost identical. A comparison of the models’ WAIC via ELPD shows that the difference (ELPD diff = -1.13) is not larger than its standard error (</w:t>
      </w:r>
      <m:oMath>
        <m:r>
          <w:rPr>
            <w:rFonts w:ascii="Cambria Math" w:hAnsi="Cambria Math"/>
          </w:rPr>
          <m:t>SE</m:t>
        </m:r>
      </m:oMath>
      <w:r w:rsidRPr="007B4308">
        <w:t xml:space="preserve"> = 1.13) and indicates that the reduced model has slightly better predictive performance. However, weights strongly favor the reduced model by allocating 100% of model weight to it as opposed to 0% to the full model. While being more complex, the full model provides no meaningful gain in predictive accuracy. Hence, we report estimates from the reduced model.</w:t>
      </w:r>
    </w:p>
    <w:p w14:paraId="196DABC5" w14:textId="77777777" w:rsidR="007B4308" w:rsidRPr="007B4308" w:rsidRDefault="007B4308" w:rsidP="007B4308">
      <w:pPr>
        <w:pStyle w:val="Textkrper"/>
      </w:pPr>
    </w:p>
    <w:p w14:paraId="7F31C7A6" w14:textId="77777777" w:rsidR="0014213B" w:rsidRDefault="00000000">
      <w:pPr>
        <w:pStyle w:val="TableCaption"/>
      </w:pPr>
      <w:bookmarkStart w:id="13" w:name="tab:suppl-S3-coef-table"/>
      <w:bookmarkEnd w:id="13"/>
      <w:r>
        <w:t>Table 4: Study 3 - Posterior Estimates for the Reduced Model.</w:t>
      </w:r>
    </w:p>
    <w:tbl>
      <w:tblPr>
        <w:tblW w:w="0" w:type="pct"/>
        <w:jc w:val="center"/>
        <w:tblLook w:val="0420" w:firstRow="1" w:lastRow="0" w:firstColumn="0" w:lastColumn="0" w:noHBand="0" w:noVBand="1"/>
      </w:tblPr>
      <w:tblGrid>
        <w:gridCol w:w="1735"/>
        <w:gridCol w:w="1529"/>
        <w:gridCol w:w="948"/>
        <w:gridCol w:w="1144"/>
        <w:gridCol w:w="1727"/>
        <w:gridCol w:w="1481"/>
        <w:gridCol w:w="1408"/>
      </w:tblGrid>
      <w:tr w:rsidR="0014213B" w14:paraId="20EC7FAF"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C5198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B710B0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AC04A0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DE5DE5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690897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1F6D22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EA05C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Tail ESS</w:t>
            </w:r>
          </w:p>
        </w:tc>
      </w:tr>
      <w:tr w:rsidR="0014213B" w14:paraId="71512E73"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B0EA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CF6D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6E42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BC02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7680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[1.21, 2.60]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F39B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2,573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746B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4,121</w:t>
            </w:r>
          </w:p>
        </w:tc>
      </w:tr>
      <w:tr w:rsidR="0014213B" w14:paraId="07F2867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FECA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6E50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D7BB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FCF1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91E6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[0.98, 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0C00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34EC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4,394</w:t>
            </w:r>
          </w:p>
        </w:tc>
      </w:tr>
      <w:tr w:rsidR="0014213B" w14:paraId="541C4DA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CFFA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7CE7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91C6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44FF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CDD2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[-0.04, 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CBE8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95C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4,111</w:t>
            </w:r>
          </w:p>
        </w:tc>
      </w:tr>
      <w:tr w:rsidR="0014213B" w14:paraId="2ECB90B4"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CDCDF0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Sex (male)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641E8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F4E45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E96EC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4C45A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[-1.19, 0.71]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17E9D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2,291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7280F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4,179</w:t>
            </w:r>
          </w:p>
        </w:tc>
      </w:tr>
      <w:tr w:rsidR="0014213B" w14:paraId="552C4C55"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27B099A" w14:textId="77777777" w:rsidR="0014213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1F794E98" w14:textId="77777777" w:rsidR="0014213B" w:rsidRDefault="00000000">
      <w:r>
        <w:br w:type="page"/>
      </w:r>
    </w:p>
    <w:p w14:paraId="0BC8DE69" w14:textId="77777777" w:rsidR="0014213B" w:rsidRDefault="00000000">
      <w:pPr>
        <w:pStyle w:val="berschrift2"/>
      </w:pPr>
      <w:bookmarkStart w:id="14" w:name="study-3---exploratory-model"/>
      <w:bookmarkEnd w:id="12"/>
      <w:r>
        <w:lastRenderedPageBreak/>
        <w:t>Study 3 - Exploratory Model</w:t>
      </w:r>
    </w:p>
    <w:p w14:paraId="340916AC" w14:textId="77777777" w:rsidR="0014213B" w:rsidRPr="007B4308" w:rsidRDefault="00000000" w:rsidP="00582397">
      <w:pPr>
        <w:pStyle w:val="FirstParagraph"/>
        <w:jc w:val="both"/>
      </w:pPr>
      <w:r w:rsidRPr="007B4308">
        <w:t>Finally, we also ran an exploratory model (</w:t>
      </w:r>
      <m:oMath>
        <m:r>
          <w:rPr>
            <w:rFonts w:ascii="Cambria Math" w:hAnsi="Cambria Math"/>
          </w:rPr>
          <m:t>correct</m:t>
        </m:r>
        <m:r>
          <m:rPr>
            <m:sty m:val="p"/>
          </m:rPr>
          <w:rPr>
            <w:rFonts w:ascii="Cambria Math" w:hAnsi="Cambria Math"/>
          </w:rPr>
          <m:t>∼</m:t>
        </m:r>
        <m:r>
          <w:rPr>
            <w:rFonts w:ascii="Cambria Math" w:hAnsi="Cambria Math"/>
          </w:rPr>
          <m:t>cuetype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oMath>
      <w:r w:rsidRPr="007B4308">
        <w:t>) in Study 3 that included a fixed effect for cue type. Regression coefficients revealed no credible differences across cue types, with all point estimates near zero, standard errors (</w:t>
      </w:r>
      <m:oMath>
        <m:r>
          <m:rPr>
            <m:sty m:val="p"/>
          </m:rPr>
          <w:rPr>
            <w:rFonts w:ascii="Cambria Math" w:hAnsi="Cambria Math"/>
          </w:rPr>
          <m:t>≈</m:t>
        </m:r>
        <m:r>
          <w:rPr>
            <w:rFonts w:ascii="Cambria Math" w:hAnsi="Cambria Math"/>
          </w:rPr>
          <m:t>0.29</m:t>
        </m:r>
      </m:oMath>
      <w:r w:rsidRPr="007B4308">
        <w:t>) exceeding effect sizes, and 95% CrIs spanning zero. Thus, children performed comparably across all five cue variations. In addition, the WAIC scores for the exploratory model (ELPD WAIC = -422) and the reduced model (ELPD WAIC = -423.94) are almost identical. A comparison of the models’ WAIC via ELPD shows that the difference (ELPD diff = -1.94) is slightly larger than its standard error (</w:t>
      </w:r>
      <m:oMath>
        <m:r>
          <w:rPr>
            <w:rFonts w:ascii="Cambria Math" w:hAnsi="Cambria Math"/>
          </w:rPr>
          <m:t>SE</m:t>
        </m:r>
      </m:oMath>
      <w:r w:rsidRPr="007B4308">
        <w:t xml:space="preserve"> = 1.92) and indicates that the reduced model has slightly better predictive performance. Finally, weights strongly favor the reduced model by allocating 100% of model weight to it as opposed to 0% to the exploratory model, which corroborates that the reduced model is the best choice for our primary analyses.</w:t>
      </w:r>
    </w:p>
    <w:p w14:paraId="7B706EA9" w14:textId="77777777" w:rsidR="00582397" w:rsidRPr="00582397" w:rsidRDefault="00582397" w:rsidP="00582397">
      <w:pPr>
        <w:pStyle w:val="Textkrper"/>
      </w:pPr>
    </w:p>
    <w:p w14:paraId="5BB7849F" w14:textId="77777777" w:rsidR="0014213B" w:rsidRDefault="00000000">
      <w:pPr>
        <w:pStyle w:val="TableCaption"/>
      </w:pPr>
      <w:bookmarkStart w:id="15" w:name="tab:suppl-S3task-coef-table"/>
      <w:bookmarkEnd w:id="15"/>
      <w:r>
        <w:t>Table 5: Study 3 - Posterior Estimates for the Exploratory Model.</w:t>
      </w:r>
    </w:p>
    <w:tbl>
      <w:tblPr>
        <w:tblW w:w="0" w:type="pct"/>
        <w:jc w:val="center"/>
        <w:tblLook w:val="0420" w:firstRow="1" w:lastRow="0" w:firstColumn="0" w:lastColumn="0" w:noHBand="0" w:noVBand="1"/>
      </w:tblPr>
      <w:tblGrid>
        <w:gridCol w:w="1757"/>
        <w:gridCol w:w="1525"/>
        <w:gridCol w:w="946"/>
        <w:gridCol w:w="1141"/>
        <w:gridCol w:w="1722"/>
        <w:gridCol w:w="1477"/>
        <w:gridCol w:w="1404"/>
      </w:tblGrid>
      <w:tr w:rsidR="0014213B" w14:paraId="7D7E79F7"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A67B42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78428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9DB5A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4F65E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04D6E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B6795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5B169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Tail ESS</w:t>
            </w:r>
          </w:p>
        </w:tc>
      </w:tr>
      <w:tr w:rsidR="0014213B" w14:paraId="64398BE2"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F42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7C2D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ADA7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C0D0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D954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[1.24, 2.85]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55BE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2,633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377D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4,513</w:t>
            </w:r>
          </w:p>
        </w:tc>
      </w:tr>
      <w:tr w:rsidR="0014213B" w14:paraId="4DF45E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844F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Task 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A150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5F6A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42C3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1727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[-0.79, 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0ADA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192A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7,429</w:t>
            </w:r>
          </w:p>
        </w:tc>
      </w:tr>
      <w:tr w:rsidR="0014213B" w14:paraId="3AB4F64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5863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Task 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99D4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29AD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ABD8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5262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[-0.93, 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57EA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6,738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8E0C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7,317</w:t>
            </w:r>
          </w:p>
        </w:tc>
      </w:tr>
      <w:tr w:rsidR="0014213B" w14:paraId="7F563C0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911E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Task 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FC9E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111E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8E89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EE31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[-0.53, 0.60]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B7A3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6,645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D8AE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6,299</w:t>
            </w:r>
          </w:p>
        </w:tc>
      </w:tr>
      <w:tr w:rsidR="0014213B" w14:paraId="74CCF2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97AF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Task 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E0B0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ABE9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EDB5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221D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[-0.54, 0.58]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9825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6,643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9E46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7,049</w:t>
            </w:r>
          </w:p>
        </w:tc>
      </w:tr>
      <w:tr w:rsidR="0014213B" w14:paraId="6514F20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259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EECE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DB5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583C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C533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[0.98, 2.88]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11F1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2,293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3E6A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4,209</w:t>
            </w:r>
          </w:p>
        </w:tc>
      </w:tr>
      <w:tr w:rsidR="0014213B" w14:paraId="18B3D3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5001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0F8C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59BE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BA99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4EAD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 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1A7F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3,195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5D6F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4,763</w:t>
            </w:r>
          </w:p>
        </w:tc>
      </w:tr>
      <w:tr w:rsidR="0014213B" w14:paraId="7405049C"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5C33B2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Sex (Male)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DC0AA8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5B87D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77FC6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19FFF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[-1.23, 0.72]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F7C66D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2,130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8218F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3,528</w:t>
            </w:r>
          </w:p>
        </w:tc>
      </w:tr>
      <w:tr w:rsidR="0014213B" w14:paraId="2569C879"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F8ED40C" w14:textId="77777777" w:rsidR="0014213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bookmarkEnd w:id="7"/>
      <w:bookmarkEnd w:id="14"/>
    </w:tbl>
    <w:p w14:paraId="663C8406" w14:textId="77777777" w:rsidR="009F5F5D" w:rsidRDefault="009F5F5D"/>
    <w:sectPr w:rsidR="009F5F5D" w:rsidSect="007B4308">
      <w:headerReference w:type="even" r:id="rId10"/>
      <w:headerReference w:type="default" r:id="rId11"/>
      <w:headerReference w:type="first" r:id="rId12"/>
      <w:pgSz w:w="12240" w:h="15840"/>
      <w:pgMar w:top="1191" w:right="1191" w:bottom="1021" w:left="107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B015E" w14:textId="77777777" w:rsidR="009F5F5D" w:rsidRDefault="009F5F5D">
      <w:pPr>
        <w:spacing w:before="0" w:after="0" w:line="240" w:lineRule="auto"/>
      </w:pPr>
      <w:r>
        <w:separator/>
      </w:r>
    </w:p>
  </w:endnote>
  <w:endnote w:type="continuationSeparator" w:id="0">
    <w:p w14:paraId="6882DA39" w14:textId="77777777" w:rsidR="009F5F5D" w:rsidRDefault="009F5F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3D82E" w14:textId="77777777" w:rsidR="009F5F5D" w:rsidRDefault="009F5F5D">
      <w:pPr>
        <w:spacing w:before="0" w:after="0" w:line="240" w:lineRule="auto"/>
      </w:pPr>
      <w:r>
        <w:separator/>
      </w:r>
    </w:p>
  </w:footnote>
  <w:footnote w:type="continuationSeparator" w:id="0">
    <w:p w14:paraId="70705D0C" w14:textId="77777777" w:rsidR="009F5F5D" w:rsidRDefault="009F5F5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0AF2D175"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205A260F"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7A6AE735"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234E898" w14:textId="77777777" w:rsidR="00000000" w:rsidRPr="00A05772" w:rsidRDefault="00693388" w:rsidP="00693388">
    <w:pPr>
      <w:pStyle w:val="Kopfzeile"/>
      <w:ind w:right="360"/>
    </w:pPr>
    <w:r>
      <w:t>YOUNG CHILDREN’S COMPREHENSION OF DEIXIS IN THE GRAPHIC DOMAIN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14F4E7F9"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273FC93" w14:textId="77777777" w:rsidR="00000000" w:rsidRPr="00A05772" w:rsidRDefault="00E753DB" w:rsidP="00084144">
    <w:pPr>
      <w:pStyle w:val="Kopfzeile"/>
      <w:ind w:right="360"/>
    </w:pPr>
    <w:r>
      <w:t xml:space="preserve">Running head: </w:t>
    </w:r>
    <w:r w:rsidR="00CF1051">
      <w:t>YOUNG CHILDREN’S COMPREHENSION OF DEIXIS IN THE GRAPHIC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88249838">
    <w:abstractNumId w:val="13"/>
  </w:num>
  <w:num w:numId="2" w16cid:durableId="1434519373">
    <w:abstractNumId w:val="13"/>
  </w:num>
  <w:num w:numId="3" w16cid:durableId="1891912733">
    <w:abstractNumId w:val="14"/>
  </w:num>
  <w:num w:numId="4" w16cid:durableId="2087720999">
    <w:abstractNumId w:val="1"/>
  </w:num>
  <w:num w:numId="5" w16cid:durableId="1831171646">
    <w:abstractNumId w:val="2"/>
  </w:num>
  <w:num w:numId="6" w16cid:durableId="2035157275">
    <w:abstractNumId w:val="3"/>
  </w:num>
  <w:num w:numId="7" w16cid:durableId="2028215100">
    <w:abstractNumId w:val="4"/>
  </w:num>
  <w:num w:numId="8" w16cid:durableId="1496649824">
    <w:abstractNumId w:val="9"/>
  </w:num>
  <w:num w:numId="9" w16cid:durableId="2113822229">
    <w:abstractNumId w:val="5"/>
  </w:num>
  <w:num w:numId="10" w16cid:durableId="551699164">
    <w:abstractNumId w:val="6"/>
  </w:num>
  <w:num w:numId="11" w16cid:durableId="1728264219">
    <w:abstractNumId w:val="7"/>
  </w:num>
  <w:num w:numId="12" w16cid:durableId="176890967">
    <w:abstractNumId w:val="8"/>
  </w:num>
  <w:num w:numId="13" w16cid:durableId="2118015259">
    <w:abstractNumId w:val="10"/>
  </w:num>
  <w:num w:numId="14" w16cid:durableId="2023244902">
    <w:abstractNumId w:val="14"/>
  </w:num>
  <w:num w:numId="15" w16cid:durableId="1542934638">
    <w:abstractNumId w:val="0"/>
  </w:num>
  <w:num w:numId="16" w16cid:durableId="87165102">
    <w:abstractNumId w:val="0"/>
  </w:num>
  <w:num w:numId="17" w16cid:durableId="624624577">
    <w:abstractNumId w:val="11"/>
  </w:num>
  <w:num w:numId="18" w16cid:durableId="641544842">
    <w:abstractNumId w:val="12"/>
  </w:num>
  <w:num w:numId="19" w16cid:durableId="2133472200">
    <w:abstractNumId w:val="11"/>
  </w:num>
  <w:num w:numId="20" w16cid:durableId="1497384981">
    <w:abstractNumId w:val="12"/>
  </w:num>
  <w:num w:numId="21" w16cid:durableId="803500675">
    <w:abstractNumId w:val="11"/>
  </w:num>
  <w:num w:numId="22" w16cid:durableId="1418405250">
    <w:abstractNumId w:val="12"/>
  </w:num>
  <w:num w:numId="23" w16cid:durableId="5982936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4213B"/>
    <w:rsid w:val="00210C84"/>
    <w:rsid w:val="002E67C3"/>
    <w:rsid w:val="00313569"/>
    <w:rsid w:val="00352BA1"/>
    <w:rsid w:val="003756FC"/>
    <w:rsid w:val="003D44B0"/>
    <w:rsid w:val="00435F1A"/>
    <w:rsid w:val="00472128"/>
    <w:rsid w:val="00506818"/>
    <w:rsid w:val="00582397"/>
    <w:rsid w:val="005A55BB"/>
    <w:rsid w:val="006157CB"/>
    <w:rsid w:val="006373B0"/>
    <w:rsid w:val="00664B46"/>
    <w:rsid w:val="00693388"/>
    <w:rsid w:val="006E6812"/>
    <w:rsid w:val="007B4308"/>
    <w:rsid w:val="00871062"/>
    <w:rsid w:val="009E05DE"/>
    <w:rsid w:val="009F5F5D"/>
    <w:rsid w:val="00AE0127"/>
    <w:rsid w:val="00BF4B6B"/>
    <w:rsid w:val="00CF1051"/>
    <w:rsid w:val="00E634E8"/>
    <w:rsid w:val="00E753DB"/>
    <w:rsid w:val="00EB1F7E"/>
    <w:rsid w:val="00FE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29B2"/>
  <w15:docId w15:val="{9595E003-6FF5-45B4-9184-4AD5A8FC9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1785</Words>
  <Characters>10178</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Deixis in the Graphic Domain - Young Children’s Comprehension of Arrows and Markers</dc:title>
  <dc:creator/>
  <cp:keywords/>
  <cp:lastModifiedBy>Gregor Kachel</cp:lastModifiedBy>
  <cp:revision>8</cp:revision>
  <dcterms:created xsi:type="dcterms:W3CDTF">2026-10-26T17:07:00Z</dcterms:created>
  <dcterms:modified xsi:type="dcterms:W3CDTF">2026-10-26T17:18:00Z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library.bib</vt:lpwstr>
  </property>
  <property fmtid="{D5CDD505-2E9C-101B-9397-08002B2CF9AE}" pid="4" name="csl">
    <vt:lpwstr>C:\Users\Kachel.IPE-KACHEL-N\Documents\GitHub\SymLit_Arrows_manuscript\manuscript\apa7.csl</vt:lpwstr>
  </property>
  <property fmtid="{D5CDD505-2E9C-101B-9397-08002B2CF9AE}" pid="5" name="draft">
    <vt:lpwstr>False</vt:lpwstr>
  </property>
  <property fmtid="{D5CDD505-2E9C-101B-9397-08002B2CF9AE}" pid="6" name="editor_options">
    <vt:lpwstr/>
  </property>
  <property fmtid="{D5CDD505-2E9C-101B-9397-08002B2CF9AE}" pid="7" name="figurelist">
    <vt:lpwstr>False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False</vt:lpwstr>
  </property>
  <property fmtid="{D5CDD505-2E9C-101B-9397-08002B2CF9AE}" pid="12" name="output">
    <vt:lpwstr>papaja::apa6_docx</vt:lpwstr>
  </property>
  <property fmtid="{D5CDD505-2E9C-101B-9397-08002B2CF9AE}" pid="13" name="shorttitle">
    <vt:lpwstr>Young Children’s Comprehension of Deixis in the Graphic Domain</vt:lpwstr>
  </property>
  <property fmtid="{D5CDD505-2E9C-101B-9397-08002B2CF9AE}" pid="14" name="tablelist">
    <vt:lpwstr>False</vt:lpwstr>
  </property>
  <property fmtid="{D5CDD505-2E9C-101B-9397-08002B2CF9AE}" pid="15" name="wordcount">
    <vt:lpwstr>1997 words (Intro=1037 and Discussion=960) 40 references</vt:lpwstr>
  </property>
</Properties>
</file>