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50C3" w14:textId="77777777" w:rsidR="005D4CD1" w:rsidRPr="00671125" w:rsidRDefault="00000000">
      <w:pPr>
        <w:pStyle w:val="Titel"/>
        <w:rPr>
          <w:b/>
          <w:bCs w:val="0"/>
        </w:rPr>
      </w:pPr>
      <w:r w:rsidRPr="00671125">
        <w:rPr>
          <w:b/>
          <w:bCs w:val="0"/>
        </w:rPr>
        <w:t>Young Children’s Spontaneous Comprehension of Symbol-Referent Relationships in the Graphic Domain</w:t>
      </w:r>
    </w:p>
    <w:p w14:paraId="4F741258" w14:textId="77777777" w:rsidR="005D4CD1" w:rsidRPr="00671125" w:rsidRDefault="00000000">
      <w:pPr>
        <w:pStyle w:val="h1-pagebreak"/>
        <w:rPr>
          <w:b/>
          <w:bCs w:val="0"/>
        </w:rPr>
      </w:pPr>
      <w:r w:rsidRPr="00671125">
        <w:rPr>
          <w:b/>
          <w:bCs w:val="0"/>
        </w:rPr>
        <w:lastRenderedPageBreak/>
        <w:t>Abstract</w:t>
      </w:r>
    </w:p>
    <w:p w14:paraId="32F09B14" w14:textId="77777777" w:rsidR="005D4CD1" w:rsidRDefault="00000000" w:rsidP="00671125">
      <w:pPr>
        <w:pStyle w:val="Textkrper"/>
        <w:jc w:val="both"/>
      </w:pPr>
      <w:r>
        <w:t>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w:t>
      </w:r>
      <w:ins w:id="0" w:author="Revision" w:date="2026-04-24T11:50:00Z" w16du:dateUtc="2026-04-24T09:50:00Z">
        <w:r>
          <w:t xml:space="preserve"> 304</w:t>
        </w:r>
      </w:ins>
      <w:r>
        <w:t xml:space="preserve"> German-speaking children continuously sampled from age 3 to 7 (Study 1, N = 106, 51 female; Study 2, N = 99, 49 female; Study 3, N = 99, 55 female). Children reliably used direct representations to identify target objects before age 3, whereas group-level success in the more abstract conditions emerged later but consistently before school entry. Converging evidence across conditions involving abstract or conceptual correspondences indicates a </w:t>
      </w:r>
      <w:del w:id="1" w:author="Revision" w:date="2026-04-24T11:50:00Z" w16du:dateUtc="2026-04-24T09:50:00Z">
        <w:r w:rsidR="00A511C4">
          <w:delText>qualitative</w:delText>
        </w:r>
      </w:del>
      <w:ins w:id="2" w:author="Revision" w:date="2026-04-24T11:50:00Z" w16du:dateUtc="2026-04-24T09:50:00Z">
        <w:r>
          <w:t>major</w:t>
        </w:r>
      </w:ins>
      <w:r>
        <w:t xml:space="preserve"> shift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14:paraId="537A1153" w14:textId="77777777" w:rsidR="005D4CD1" w:rsidRDefault="00000000">
      <w:pPr>
        <w:pStyle w:val="Textkrper"/>
      </w:pPr>
      <w:r>
        <w:rPr>
          <w:i/>
          <w:iCs/>
        </w:rPr>
        <w:t>Keywords:</w:t>
      </w:r>
      <w:r>
        <w:t xml:space="preserve"> Graphic Communication, Pragmatics, Symbol-Referent-Relationships, Iconicity, Representation, Analogical Reasoning</w:t>
      </w:r>
    </w:p>
    <w:p w14:paraId="0CF78CCD" w14:textId="77777777" w:rsidR="005D4CD1" w:rsidRDefault="00000000">
      <w:pPr>
        <w:pStyle w:val="Textkrper"/>
      </w:pPr>
      <w:r>
        <w:rPr>
          <w:i/>
          <w:iCs/>
        </w:rPr>
        <w:t>Word count:</w:t>
      </w:r>
      <w:r>
        <w:t xml:space="preserve"> 12.420</w:t>
      </w:r>
    </w:p>
    <w:p w14:paraId="0FE13A51" w14:textId="77777777" w:rsidR="005D4CD1" w:rsidRDefault="00000000">
      <w:pPr>
        <w:pStyle w:val="h1-pagebreak"/>
        <w:rPr>
          <w:ins w:id="3" w:author="Revision" w:date="2026-04-24T11:50:00Z" w16du:dateUtc="2026-04-24T09:50:00Z"/>
        </w:rPr>
      </w:pPr>
      <w:ins w:id="4" w:author="Revision" w:date="2026-04-24T11:50:00Z" w16du:dateUtc="2026-04-24T09:50:00Z">
        <w:r>
          <w:lastRenderedPageBreak/>
          <w:t>Young Children’s Spontaneous Comprehension of Symbol-Referent Relationships in the Graphic Domain</w:t>
        </w:r>
      </w:ins>
    </w:p>
    <w:p w14:paraId="4E86DE7C" w14:textId="77777777" w:rsidR="005D4CD1" w:rsidRDefault="00000000">
      <w:pPr>
        <w:pStyle w:val="berschrift2"/>
        <w:rPr>
          <w:ins w:id="5" w:author="Revision" w:date="2026-04-24T11:50:00Z" w16du:dateUtc="2026-04-24T09:50:00Z"/>
        </w:rPr>
      </w:pPr>
      <w:bookmarkStart w:id="6" w:name="lay-summary-max.-120-words"/>
      <w:ins w:id="7" w:author="Revision" w:date="2026-04-24T11:50:00Z" w16du:dateUtc="2026-04-24T09:50:00Z">
        <w:r>
          <w:t>Lay Summary (max. 120 words)</w:t>
        </w:r>
      </w:ins>
    </w:p>
    <w:p w14:paraId="27122991" w14:textId="77777777" w:rsidR="005D4CD1" w:rsidRDefault="00000000" w:rsidP="00671125">
      <w:pPr>
        <w:pStyle w:val="FirstParagraph"/>
        <w:jc w:val="both"/>
        <w:rPr>
          <w:ins w:id="8" w:author="Revision" w:date="2026-04-24T11:50:00Z" w16du:dateUtc="2026-04-24T09:50:00Z"/>
        </w:rPr>
      </w:pPr>
      <w:ins w:id="9" w:author="Revision" w:date="2026-04-24T11:50:00Z" w16du:dateUtc="2026-04-24T09:50:00Z">
        <w:r>
          <w:t>Young children are skilled at understanding spoken language and gestures, but much less is known about how they make sense of graphic communication. We explored how children aged 3 to 7 interpret unfamiliar graphic displays in a picture-book-style game of hide and seek where they had to choose the correct hiding place based on a drawn cue. Across three studies, we tested many kinds of symbol–object relationships, ranging from clear representations to abstract cues based on shape, size, number, orientation or spatial arrangement. Children followed representational drawings at three, but the understanding of more abstract symbols emerged around the fourth birthday. These findings show how children gradually learn to find meaning in increasingly complex visual symbols even prior to literacy.</w:t>
        </w:r>
      </w:ins>
    </w:p>
    <w:p w14:paraId="7ED17670" w14:textId="77777777" w:rsidR="005D4CD1" w:rsidRDefault="00000000">
      <w:pPr>
        <w:pStyle w:val="berschrift1"/>
      </w:pPr>
      <w:bookmarkStart w:id="10" w:name="introduction"/>
      <w:bookmarkEnd w:id="6"/>
      <w:r>
        <w:t>Introduction</w:t>
      </w:r>
    </w:p>
    <w:p w14:paraId="44B9B3ED" w14:textId="77777777" w:rsidR="005D4CD1" w:rsidRDefault="00000000" w:rsidP="00671125">
      <w:pPr>
        <w:pStyle w:val="FirstParagraph"/>
        <w:jc w:val="both"/>
      </w:pPr>
      <w:del w:id="11" w:author="Revision" w:date="2026-04-24T11:50:00Z" w16du:dateUtc="2026-04-24T09:50:00Z">
        <w:r>
          <w:delText xml:space="preserve">Children’s developing </w:delText>
        </w:r>
      </w:del>
      <w:ins w:id="12" w:author="Revision" w:date="2026-04-24T11:50:00Z" w16du:dateUtc="2026-04-24T09:50:00Z">
        <w:r>
          <w:t xml:space="preserve">The development of symbolic </w:t>
        </w:r>
      </w:ins>
      <w:r>
        <w:t xml:space="preserve">understanding </w:t>
      </w:r>
      <w:del w:id="13" w:author="Revision" w:date="2026-04-24T11:50:00Z" w16du:dateUtc="2026-04-24T09:50:00Z">
        <w:r>
          <w:delText>of symbols in</w:delText>
        </w:r>
      </w:del>
      <w:ins w:id="14" w:author="Revision" w:date="2026-04-24T11:50:00Z" w16du:dateUtc="2026-04-24T09:50:00Z">
        <w:r>
          <w:t>- encompassing</w:t>
        </w:r>
      </w:ins>
      <w:r>
        <w:t xml:space="preserve"> language, gesture</w:t>
      </w:r>
      <w:del w:id="15" w:author="Revision" w:date="2026-04-24T11:50:00Z" w16du:dateUtc="2026-04-24T09:50:00Z">
        <w:r>
          <w:delText xml:space="preserve"> or</w:delText>
        </w:r>
      </w:del>
      <w:ins w:id="16" w:author="Revision" w:date="2026-04-24T11:50:00Z" w16du:dateUtc="2026-04-24T09:50:00Z">
        <w:r>
          <w:t>, and</w:t>
        </w:r>
      </w:ins>
      <w:r>
        <w:t xml:space="preserve"> symbolic </w:t>
      </w:r>
      <w:del w:id="17" w:author="Revision" w:date="2026-04-24T11:50:00Z" w16du:dateUtc="2026-04-24T09:50:00Z">
        <w:r>
          <w:delText>artefacts</w:delText>
        </w:r>
      </w:del>
      <w:ins w:id="18" w:author="Revision" w:date="2026-04-24T11:50:00Z" w16du:dateUtc="2026-04-24T09:50:00Z">
        <w:r>
          <w:t>artifacts -</w:t>
        </w:r>
      </w:ins>
      <w:r>
        <w:t xml:space="preserve"> is </w:t>
      </w:r>
      <w:del w:id="19" w:author="Revision" w:date="2026-04-24T11:50:00Z" w16du:dateUtc="2026-04-24T09:50:00Z">
        <w:r>
          <w:delText xml:space="preserve">central to their </w:delText>
        </w:r>
      </w:del>
      <w:ins w:id="20" w:author="Revision" w:date="2026-04-24T11:50:00Z" w16du:dateUtc="2026-04-24T09:50:00Z">
        <w:r>
          <w:t xml:space="preserve">a cornerstone of human </w:t>
        </w:r>
      </w:ins>
      <w:r>
        <w:t xml:space="preserve">enculturation and </w:t>
      </w:r>
      <w:del w:id="21" w:author="Revision" w:date="2026-04-24T11:50:00Z" w16du:dateUtc="2026-04-24T09:50:00Z">
        <w:r>
          <w:delText xml:space="preserve">demonstrates </w:delText>
        </w:r>
      </w:del>
      <w:ins w:id="22" w:author="Revision" w:date="2026-04-24T11:50:00Z" w16du:dateUtc="2026-04-24T09:50:00Z">
        <w:r>
          <w:t xml:space="preserve">a hallmark of the </w:t>
        </w:r>
      </w:ins>
      <w:r>
        <w:t xml:space="preserve">cognitive capacities </w:t>
      </w:r>
      <w:del w:id="23" w:author="Revision" w:date="2026-04-24T11:50:00Z" w16du:dateUtc="2026-04-24T09:50:00Z">
        <w:r>
          <w:delText>that define</w:delText>
        </w:r>
      </w:del>
      <w:ins w:id="24" w:author="Revision" w:date="2026-04-24T11:50:00Z" w16du:dateUtc="2026-04-24T09:50:00Z">
        <w:r>
          <w:t>defining</w:t>
        </w:r>
      </w:ins>
      <w:r>
        <w:t xml:space="preserve"> the human mind (Tomasello, 2014; Vygotsky, 1980). </w:t>
      </w:r>
      <w:ins w:id="25" w:author="Revision" w:date="2026-04-24T11:50:00Z" w16du:dateUtc="2026-04-24T09:50:00Z">
        <w:r>
          <w:t xml:space="preserve">Within this developmental trajectory, </w:t>
        </w:r>
      </w:ins>
      <w:r>
        <w:t xml:space="preserve">the acquisition of </w:t>
      </w:r>
      <w:ins w:id="26" w:author="Revision" w:date="2026-04-24T11:50:00Z" w16du:dateUtc="2026-04-24T09:50:00Z">
        <w:r>
          <w:t xml:space="preserve">oral </w:t>
        </w:r>
      </w:ins>
      <w:r>
        <w:t xml:space="preserve">language and </w:t>
      </w:r>
      <w:del w:id="27" w:author="Revision" w:date="2026-04-24T11:50:00Z" w16du:dateUtc="2026-04-24T09:50:00Z">
        <w:r>
          <w:delText xml:space="preserve">– much later – </w:delText>
        </w:r>
      </w:del>
      <w:ins w:id="28" w:author="Revision" w:date="2026-04-24T11:50:00Z" w16du:dateUtc="2026-04-24T09:50:00Z">
        <w:r>
          <w:t xml:space="preserve">the subsequent mastery of </w:t>
        </w:r>
      </w:ins>
      <w:r>
        <w:t>literacy (Bruner, 1996; Dehaene, 2009</w:t>
      </w:r>
      <w:del w:id="29" w:author="Revision" w:date="2026-04-24T11:50:00Z" w16du:dateUtc="2026-04-24T09:50:00Z">
        <w:r>
          <w:delText>) are arguably</w:delText>
        </w:r>
      </w:del>
      <w:ins w:id="30" w:author="Revision" w:date="2026-04-24T11:50:00Z" w16du:dateUtc="2026-04-24T09:50:00Z">
        <w:r>
          <w:t>; Olson, 1994) represent</w:t>
        </w:r>
      </w:ins>
      <w:r>
        <w:t xml:space="preserve"> two of the most </w:t>
      </w:r>
      <w:del w:id="31" w:author="Revision" w:date="2026-04-24T11:50:00Z" w16du:dateUtc="2026-04-24T09:50:00Z">
        <w:r>
          <w:delText>significant achievements</w:delText>
        </w:r>
      </w:del>
      <w:ins w:id="32" w:author="Revision" w:date="2026-04-24T11:50:00Z" w16du:dateUtc="2026-04-24T09:50:00Z">
        <w:r>
          <w:t>transformative milestones</w:t>
        </w:r>
      </w:ins>
      <w:r>
        <w:t xml:space="preserve"> in cultural learning</w:t>
      </w:r>
      <w:del w:id="33" w:author="Revision" w:date="2026-04-24T11:50:00Z" w16du:dateUtc="2026-04-24T09:50:00Z">
        <w:r>
          <w:delText xml:space="preserve"> that individuals undergo with dramatic</w:delText>
        </w:r>
      </w:del>
      <w:ins w:id="34" w:author="Revision" w:date="2026-04-24T11:50:00Z" w16du:dateUtc="2026-04-24T09:50:00Z">
        <w:r>
          <w:t>, each yielding profound</w:t>
        </w:r>
      </w:ins>
      <w:r>
        <w:t xml:space="preserve"> consequences for </w:t>
      </w:r>
      <w:del w:id="35" w:author="Revision" w:date="2026-04-24T11:50:00Z" w16du:dateUtc="2026-04-24T09:50:00Z">
        <w:r>
          <w:delText>their</w:delText>
        </w:r>
      </w:del>
      <w:ins w:id="36" w:author="Revision" w:date="2026-04-24T11:50:00Z" w16du:dateUtc="2026-04-24T09:50:00Z">
        <w:r>
          <w:t>children’s</w:t>
        </w:r>
      </w:ins>
      <w:r>
        <w:t xml:space="preserve"> cognitive </w:t>
      </w:r>
      <w:del w:id="37" w:author="Revision" w:date="2026-04-24T11:50:00Z" w16du:dateUtc="2026-04-24T09:50:00Z">
        <w:r>
          <w:delText>abilities</w:delText>
        </w:r>
      </w:del>
      <w:ins w:id="38" w:author="Revision" w:date="2026-04-24T11:50:00Z" w16du:dateUtc="2026-04-24T09:50:00Z">
        <w:r>
          <w:t>architecture</w:t>
        </w:r>
      </w:ins>
      <w:r>
        <w:t xml:space="preserve"> (Karmiloff-Smith, 1994). </w:t>
      </w:r>
      <w:del w:id="39" w:author="Revision" w:date="2026-04-24T11:50:00Z" w16du:dateUtc="2026-04-24T09:50:00Z">
        <w:r>
          <w:delText>In order to better understand</w:delText>
        </w:r>
      </w:del>
      <w:ins w:id="40" w:author="Revision" w:date="2026-04-24T11:50:00Z" w16du:dateUtc="2026-04-24T09:50:00Z">
        <w:r>
          <w:t>To elucidate</w:t>
        </w:r>
      </w:ins>
      <w:r>
        <w:t xml:space="preserve"> the</w:t>
      </w:r>
      <w:ins w:id="41" w:author="Revision" w:date="2026-04-24T11:50:00Z" w16du:dateUtc="2026-04-24T09:50:00Z">
        <w:r>
          <w:t xml:space="preserve"> mechanisms</w:t>
        </w:r>
      </w:ins>
      <w:r>
        <w:t xml:space="preserve"> underlying </w:t>
      </w:r>
      <w:del w:id="42" w:author="Revision" w:date="2026-04-24T11:50:00Z" w16du:dateUtc="2026-04-24T09:50:00Z">
        <w:r>
          <w:lastRenderedPageBreak/>
          <w:delText>processes</w:delText>
        </w:r>
      </w:del>
      <w:ins w:id="43" w:author="Revision" w:date="2026-04-24T11:50:00Z" w16du:dateUtc="2026-04-24T09:50:00Z">
        <w:r>
          <w:t>these shifts</w:t>
        </w:r>
      </w:ins>
      <w:r>
        <w:t xml:space="preserve">, researchers have </w:t>
      </w:r>
      <w:del w:id="44" w:author="Revision" w:date="2026-04-24T11:50:00Z" w16du:dateUtc="2026-04-24T09:50:00Z">
        <w:r>
          <w:delText>worked on gesture</w:delText>
        </w:r>
      </w:del>
      <w:ins w:id="45" w:author="Revision" w:date="2026-04-24T11:50:00Z" w16du:dateUtc="2026-04-24T09:50:00Z">
        <w:r>
          <w:t>examined how children from infancy through the preschool years negotiate various symbolic media, including gestures</w:t>
        </w:r>
      </w:ins>
      <w:r>
        <w:t xml:space="preserve">, words, photographs, representative drawings, maps, models, </w:t>
      </w:r>
      <w:del w:id="46" w:author="Revision" w:date="2026-04-24T11:50:00Z" w16du:dateUtc="2026-04-24T09:50:00Z">
        <w:r>
          <w:delText xml:space="preserve">simulacra, figurines </w:delText>
        </w:r>
      </w:del>
      <w:r>
        <w:t>and sound symbolism (Callaghan &amp; Corbit, 2015).</w:t>
      </w:r>
    </w:p>
    <w:p w14:paraId="1033665D" w14:textId="77777777" w:rsidR="00AE3AC5" w:rsidRDefault="00000000" w:rsidP="00FD67B5">
      <w:pPr>
        <w:pStyle w:val="Textkrper"/>
        <w:jc w:val="both"/>
        <w:rPr>
          <w:del w:id="47" w:author="Revision" w:date="2026-04-24T11:50:00Z" w16du:dateUtc="2026-04-24T09:50:00Z"/>
        </w:rPr>
      </w:pPr>
      <w:del w:id="48" w:author="Revision" w:date="2026-04-24T11:50:00Z" w16du:dateUtc="2026-04-24T09:50:00Z">
        <w:r>
          <w:delText>The work of Judy DeLoache and colleagues has been of seminal importance in sketching children’s ability to exploit the informative value of symbolic artefacts. In various studies, they have prompted children to find the location of a hidden toy by providing them with cues in the form of scale models, pictures, videos and maps representing a search space (DeLoache, 2004). Whereas even 30-month-old children fail to retrieve hidden items by using instructions based on replicas like a model-room, 36-month-olds excel. This pattern of results in symbolic object-choice-tasks has been replicated many times by her group and other labs (DeLoache, 2011) and demonstrates that children’s symbolic understanding undergoes a rapid development in the third year of life (Callaghan &amp; Corbit, 2015; DeLoache, 2004).</w:delText>
        </w:r>
      </w:del>
    </w:p>
    <w:p w14:paraId="23387413" w14:textId="77777777" w:rsidR="005D4CD1" w:rsidRDefault="00000000" w:rsidP="00671125">
      <w:pPr>
        <w:pStyle w:val="Textkrper"/>
        <w:jc w:val="both"/>
        <w:rPr>
          <w:ins w:id="49" w:author="Revision" w:date="2026-04-24T11:50:00Z" w16du:dateUtc="2026-04-24T09:50:00Z"/>
        </w:rPr>
      </w:pPr>
      <w:del w:id="50" w:author="Revision" w:date="2026-04-24T11:50:00Z" w16du:dateUtc="2026-04-24T09:50:00Z">
        <w:r>
          <w:delText xml:space="preserve">A similar developmental trajectory has been observed in the understanding of graphic representations. </w:delText>
        </w:r>
      </w:del>
      <w:ins w:id="51" w:author="Revision" w:date="2026-04-24T11:50:00Z" w16du:dateUtc="2026-04-24T09:50:00Z">
        <w:r>
          <w:t xml:space="preserve">The symbolic object-choice task serves as a primary paradigm for investigating these capacities. In a typical procedure, children engage in a “hide-and-seek” game where, after familiarization with the goal of retrieving a target from one of two containers, the hiding process is obscured. At test, the experimenter provides a communicative cue to guide the search. Researchers have manipulated these cues to probe the ontogeny of symbolic appreciation, ranging from social signals like gaze, reaching, pointing or iconic gestures (Behne, </w:t>
        </w:r>
        <w:proofErr w:type="spellStart"/>
        <w:r>
          <w:t>Liszkowski</w:t>
        </w:r>
        <w:proofErr w:type="spellEnd"/>
        <w:r>
          <w:t xml:space="preserve">, Carpenter, &amp; Tomasello, 2012; Bohn, Call, &amp; Tomasello, 2019; </w:t>
        </w:r>
        <w:proofErr w:type="spellStart"/>
        <w:r>
          <w:t>Sodian</w:t>
        </w:r>
        <w:proofErr w:type="spellEnd"/>
        <w:r>
          <w:t xml:space="preserve"> &amp; </w:t>
        </w:r>
        <w:proofErr w:type="spellStart"/>
        <w:r>
          <w:t>Thoermer</w:t>
        </w:r>
        <w:proofErr w:type="spellEnd"/>
        <w:r>
          <w:t xml:space="preserve">, 2004; Tomasello, Carpenter, &amp; </w:t>
        </w:r>
        <w:proofErr w:type="spellStart"/>
        <w:r>
          <w:t>Liszkowski</w:t>
        </w:r>
        <w:proofErr w:type="spellEnd"/>
        <w:r>
          <w:t xml:space="preserve">, 2007; Tomasello, Striano, &amp; Rochat, 1999), to more abstract or iconic referents such as arrows, markers, replicas (Callaghan, 2000; </w:t>
        </w:r>
        <w:proofErr w:type="spellStart"/>
        <w:r>
          <w:t>Leekam</w:t>
        </w:r>
        <w:proofErr w:type="spellEnd"/>
        <w:r>
          <w:t xml:space="preserve">, </w:t>
        </w:r>
        <w:r>
          <w:lastRenderedPageBreak/>
          <w:t xml:space="preserve">Solomon, &amp; Teoh, 2010; Tomasello, Call, &amp; Gluckman, 1997), graphic symbols such as drawings or photographs (Callaghan, 2000; DeLoache, 1991), and even arbitrary signals like turning on a light (Moore, Liebal, &amp; Tomasello, 2013). Standard analyses of this paradigm (Tomasello, 2010) suggest that success requires navigating several inferential layers. Within a cooperative framework, the child must first construe the interaction as a joint endeavor with a competent partner, allowing them to treat the cue as a deliberate communicative act rather than a random event. Retrieval then necessitates a dual inference: mapping the symbol-referent relationship - whether via deixis, iconicity, or </w:t>
        </w:r>
        <w:proofErr w:type="spellStart"/>
        <w:r>
          <w:t>spatio</w:t>
        </w:r>
        <w:proofErr w:type="spellEnd"/>
        <w:r>
          <w:t>-temporal contiguity - while simultaneously recognizing the cue’s pragmatic relevance to the immediate goal. Ultimately, the task demands both a structural match between cue and target, and a pragmatic inference regarding the cue’s symbolic intent.</w:t>
        </w:r>
      </w:ins>
    </w:p>
    <w:p w14:paraId="47C9C2BC" w14:textId="77777777" w:rsidR="005D4CD1" w:rsidRDefault="00000000" w:rsidP="00671125">
      <w:pPr>
        <w:pStyle w:val="Textkrper"/>
        <w:jc w:val="both"/>
        <w:rPr>
          <w:ins w:id="52" w:author="Revision" w:date="2026-04-24T11:50:00Z" w16du:dateUtc="2026-04-24T09:50:00Z"/>
        </w:rPr>
      </w:pPr>
      <w:ins w:id="53" w:author="Revision" w:date="2026-04-24T11:50:00Z" w16du:dateUtc="2026-04-24T09:50:00Z">
        <w:r>
          <w:t xml:space="preserve">Although infants grasp naturally meaningful behaviors like pointing and gaze by the end of their first year, their ability to exploit less transparent symbolic artifacts emerges significantly later. The seminal work of DeLoache and colleagues has been instrumental in charting this progression, demonstrating that children’s capacity to use scale models, pictures, videos, and maps as informative tools undergoes a rapid transformation during the third year of life (DeLoache, 1991, 2004, 2011). A robust finding across this literature is the 30-to-36-month transition: while 30-month-olds typically fail to use a scale model to locate a hidden item, 36-month-olds excel, mastering the concept of “dual representation” enabling them to see an artifact as both an object and a symbol (Callaghan &amp; Corbit, 2015; DeLoache, 2004). A parallel developmental trajectory is evident in the domain of graphic representation: functional use of graphic representations such as line or pencil drawings in choice tasks remains fragile until approximately age three. For instance, while children as young as 30 months may use shape to interpret drawings when intentionality is clear (Gelman &amp; Ebeling, 1998), Callaghan (1999) </w:t>
        </w:r>
        <w:r>
          <w:lastRenderedPageBreak/>
          <w:t>found that at 24 months children still struggle to select items based on representative drawings. This fragility is underscored by findings that 30-month-olds often fail to benefit from iconicity in either drawings or replica objects, whereas 36-month-olds reliably succeed in object-choice-tasks across varying levels of stylization (Callaghan, 2000; DeLoache, 1995).</w:t>
        </w:r>
      </w:ins>
    </w:p>
    <w:p w14:paraId="1EEABF80" w14:textId="77777777" w:rsidR="00AE3AC5" w:rsidRDefault="00000000" w:rsidP="00FD67B5">
      <w:pPr>
        <w:pStyle w:val="Textkrper"/>
        <w:jc w:val="both"/>
        <w:rPr>
          <w:del w:id="54" w:author="Revision" w:date="2026-04-24T11:50:00Z" w16du:dateUtc="2026-04-24T09:50:00Z"/>
        </w:rPr>
      </w:pPr>
      <w:ins w:id="55" w:author="Revision" w:date="2026-04-24T11:50:00Z" w16du:dateUtc="2026-04-24T09:50:00Z">
        <w:r>
          <w:t xml:space="preserve">Hence, from 36 months onward, it may be productive to investigate whether children can comprehend symbol-referent-relationships that are less dependent on iconicity. Any symbol-referent-relationship that children can spontaneously use early may be of particular relevance for our understanding of emerging and graphical literacy and the development of graphic systems of communication. While </w:t>
        </w:r>
      </w:ins>
      <w:r>
        <w:t xml:space="preserve">iconicity provides an entry point </w:t>
      </w:r>
      <w:del w:id="56" w:author="Revision" w:date="2026-04-24T11:50:00Z" w16du:dateUtc="2026-04-24T09:50:00Z">
        <w:r>
          <w:delText>in this domain and even</w:delText>
        </w:r>
      </w:del>
      <w:ins w:id="57" w:author="Revision" w:date="2026-04-24T11:50:00Z" w16du:dateUtc="2026-04-24T09:50:00Z">
        <w:r>
          <w:t>for symbol-grounding in graphic communication (Callaghan, 2000) much like</w:t>
        </w:r>
      </w:ins>
      <w:r>
        <w:t xml:space="preserve"> in the </w:t>
      </w:r>
      <w:del w:id="58" w:author="Revision" w:date="2026-04-24T11:50:00Z" w16du:dateUtc="2026-04-24T09:50:00Z">
        <w:r>
          <w:delText>first year, infants are sensitive to the similarity between a picture and its 3D referent (DeLoache, Pierroutsakos, Uttal, Rosengren, &amp; Gottlieb, 1998). While pictures can incite manual exploration before the first birthday (Pierroutsakos &amp; DeLoache, 2003) this is replaced with pointing to the depiction in the second year (DeLoache</w:delText>
        </w:r>
      </w:del>
      <w:ins w:id="59" w:author="Revision" w:date="2026-04-24T11:50:00Z" w16du:dateUtc="2026-04-24T09:50:00Z">
        <w:r>
          <w:t>gestural domain (Bohn, Call,</w:t>
        </w:r>
      </w:ins>
      <w:r>
        <w:t xml:space="preserve"> et al., </w:t>
      </w:r>
      <w:del w:id="60" w:author="Revision" w:date="2026-04-24T11:50:00Z" w16du:dateUtc="2026-04-24T09:50:00Z">
        <w:r>
          <w:delText xml:space="preserve">1998). Around the same age, toddlers understand that pictures refer to concepts (Allen Preissler &amp; Carey, 2004) in learning words: 15- and 18-month-olds can extend newly learned labels both from pictures to objects and from objects to pictures (Ganea, Pickard, &amp; DeLoache, 2008). From 2,5 to 4, children use the shape of drawings to interpret them as long as the drawings are presented to them as having been produced intentionally (Gelman &amp; Ebeling, 1998). Yet, Callaghan (1999) found that two-year-olds were still at chance selecting an item depicted in representative drawings whereas three- and four-year-olds succeeded. Children’s comprehension of graphic depictions remains fragile until the end of the third year. Callaghan (2000) presented children either with a realistic pencil drawing, a stylized drawing or a model replica and then prompted children to choose what was depicted from a set of two realistic presentations. 30-months-olds did not benefit from iconicity and failed </w:delText>
        </w:r>
        <w:r>
          <w:lastRenderedPageBreak/>
          <w:delText xml:space="preserve">to use pictures and replicas as symbols. 36-month-olds succeeded in all conditions and benefitted from iconicity and the availability of verbal labels during the task (Callaghan, 2000; DeLoache, 1995). Matching graphic representations with each other is much less demanding or even so trivial that it is rarely employed in experimental contexts. Finding a graphical item in a drawn scene as is often done in picture-book reading routines or visual search paradigms and is </w:delText>
        </w:r>
      </w:del>
      <w:ins w:id="61" w:author="Revision" w:date="2026-04-24T11:50:00Z" w16du:dateUtc="2026-04-24T09:50:00Z">
        <w:r>
          <w:t xml:space="preserve">2019; Callaghan &amp; Corbit, 2015; Fay, Ellison, &amp; Garrod, 2014), it is </w:t>
        </w:r>
      </w:ins>
      <w:r>
        <w:t xml:space="preserve">generally </w:t>
      </w:r>
      <w:del w:id="62" w:author="Revision" w:date="2026-04-24T11:50:00Z" w16du:dateUtc="2026-04-24T09:50:00Z">
        <w:r>
          <w:delText>accessible for children at the end of the third year (Gerhardstein &amp; Rovee-Collier, 2002). Matching identical items in match-</w:delText>
        </w:r>
      </w:del>
      <w:ins w:id="63" w:author="Revision" w:date="2026-04-24T11:50:00Z" w16du:dateUtc="2026-04-24T09:50:00Z">
        <w:r>
          <w:t xml:space="preserve">also possible </w:t>
        </w:r>
      </w:ins>
      <w:r>
        <w:t>to</w:t>
      </w:r>
      <w:del w:id="64" w:author="Revision" w:date="2026-04-24T11:50:00Z" w16du:dateUtc="2026-04-24T09:50:00Z">
        <w:r>
          <w:delText>-sample tasks is occasionally used as a training in research on analogical reasoning and generally provides no challenge for children older than three (Kroupin &amp; Carey, 2022b).</w:delText>
        </w:r>
      </w:del>
    </w:p>
    <w:p w14:paraId="22408B3A" w14:textId="77777777" w:rsidR="005D4CD1" w:rsidRDefault="00000000" w:rsidP="00671125">
      <w:pPr>
        <w:pStyle w:val="Textkrper"/>
        <w:jc w:val="both"/>
      </w:pPr>
      <w:del w:id="65" w:author="Revision" w:date="2026-04-24T11:50:00Z" w16du:dateUtc="2026-04-24T09:50:00Z">
        <w:r>
          <w:delText xml:space="preserve">Direct investigations into children’s ability to use </w:delText>
        </w:r>
      </w:del>
      <w:ins w:id="66" w:author="Revision" w:date="2026-04-24T11:50:00Z" w16du:dateUtc="2026-04-24T09:50:00Z">
        <w:r>
          <w:t xml:space="preserve"> establish reference via more abstract or </w:t>
        </w:r>
      </w:ins>
      <w:r>
        <w:t xml:space="preserve">conceptual </w:t>
      </w:r>
      <w:del w:id="67" w:author="Revision" w:date="2026-04-24T11:50:00Z" w16du:dateUtc="2026-04-24T09:50:00Z">
        <w:r>
          <w:delText>dimensions other than similarity or iconicity in the graphic domain are rare. Given that graphical representations are static in time and limited to 2D-space, the conceptual dimensions along which information can be encoded is finite. Apart from representations capturing the actual shape of what they are depicting, discussions of graphic communication generally identify primitives or “visual variables”</w:delText>
        </w:r>
      </w:del>
      <w:ins w:id="68" w:author="Revision" w:date="2026-04-24T11:50:00Z" w16du:dateUtc="2026-04-24T09:50:00Z">
        <w:r>
          <w:t>symbol-referent relationships such as size, number, orientation, position or gestalt principles serving</w:t>
        </w:r>
      </w:ins>
      <w:r>
        <w:t xml:space="preserve"> as fundamental </w:t>
      </w:r>
      <w:del w:id="69" w:author="Revision" w:date="2026-04-24T11:50:00Z" w16du:dateUtc="2026-04-24T09:50:00Z">
        <w:r>
          <w:delText>elements</w:delText>
        </w:r>
      </w:del>
      <w:ins w:id="70" w:author="Revision" w:date="2026-04-24T11:50:00Z" w16du:dateUtc="2026-04-24T09:50:00Z">
        <w:r>
          <w:t>avenues</w:t>
        </w:r>
      </w:ins>
      <w:r>
        <w:t xml:space="preserve"> for encoding information</w:t>
      </w:r>
      <w:del w:id="71" w:author="Revision" w:date="2026-04-24T11:50:00Z" w16du:dateUtc="2026-04-24T09:50:00Z">
        <w:r>
          <w:delText>. These variables are position, size, number, orientation, relational and gestalt-principles, as well as continuous visual properties such as brightness, color (hue) or texture</w:delText>
        </w:r>
      </w:del>
      <w:ins w:id="72" w:author="Revision" w:date="2026-04-24T11:50:00Z" w16du:dateUtc="2026-04-24T09:50:00Z">
        <w:r>
          <w:t xml:space="preserve"> in the graphic domain</w:t>
        </w:r>
      </w:ins>
      <w:r>
        <w:t xml:space="preserve"> (Cleveland &amp; McGill, 1984; </w:t>
      </w:r>
      <w:ins w:id="73" w:author="Revision" w:date="2026-04-24T11:50:00Z" w16du:dateUtc="2026-04-24T09:50:00Z">
        <w:r>
          <w:t xml:space="preserve">Donnelly et al., 2007; </w:t>
        </w:r>
      </w:ins>
      <w:r>
        <w:t xml:space="preserve">Stevenson, Alberto, Boom, &amp; Boeck, 2014). </w:t>
      </w:r>
      <w:del w:id="74" w:author="Revision" w:date="2026-04-24T11:50:00Z" w16du:dateUtc="2026-04-24T09:50:00Z">
        <w:r>
          <w:delText xml:space="preserve">The former group takes precedence in conceptual implementation due to their discreteness. After all, a conventional sign or representative drawing can evoke the same concept regardless of the color or brightness it is implemented with. On the perceptual level, object, color, quantity, size are easier to process than relational properties or </w:delText>
        </w:r>
        <w:r>
          <w:lastRenderedPageBreak/>
          <w:delText xml:space="preserve">figural analogies such as orientation and position (Donnelly et al., 2007; Stevenson et al., 2014). Similar successions have been documented throughout the preschool years. Children are first able to understand iconic signs or depictions around the third birthday, whereas more conceptual or analogical dimensions are appreciated only at four to five years of age (Callaghan, 2000). </w:delText>
        </w:r>
      </w:del>
      <w:r>
        <w:t xml:space="preserve">Defining the precise ages and relative developmental trajectories for children’s sensitivity to using these graphic primitives as conveying meaning and </w:t>
      </w:r>
      <w:ins w:id="75" w:author="Revision" w:date="2026-04-24T11:50:00Z" w16du:dateUtc="2026-04-24T09:50:00Z">
        <w:r>
          <w:t xml:space="preserve">for </w:t>
        </w:r>
      </w:ins>
      <w:r>
        <w:t xml:space="preserve">disambiguating reference </w:t>
      </w:r>
      <w:del w:id="76" w:author="Revision" w:date="2026-04-24T11:50:00Z" w16du:dateUtc="2026-04-24T09:50:00Z">
        <w:r>
          <w:delText>provides</w:delText>
        </w:r>
      </w:del>
      <w:ins w:id="77" w:author="Revision" w:date="2026-04-24T11:50:00Z" w16du:dateUtc="2026-04-24T09:50:00Z">
        <w:r>
          <w:t>in object-choice-tasks will provide</w:t>
        </w:r>
      </w:ins>
      <w:r>
        <w:t xml:space="preserve"> crucial insights into children’s developing symbolic competence</w:t>
      </w:r>
      <w:ins w:id="78" w:author="Revision" w:date="2026-04-24T11:50:00Z" w16du:dateUtc="2026-04-24T09:50:00Z">
        <w:r>
          <w:t xml:space="preserve"> and the interplay of communicative and analogical capacities</w:t>
        </w:r>
      </w:ins>
      <w:r>
        <w:t>.</w:t>
      </w:r>
    </w:p>
    <w:p w14:paraId="2129FD40" w14:textId="77777777" w:rsidR="005D4CD1" w:rsidRDefault="00000000" w:rsidP="00671125">
      <w:pPr>
        <w:pStyle w:val="Textkrper"/>
        <w:jc w:val="both"/>
      </w:pPr>
      <w:del w:id="79" w:author="Revision" w:date="2026-04-24T11:50:00Z" w16du:dateUtc="2026-04-24T09:50:00Z">
        <w:r>
          <w:delText>Omissions in depiction are an important aspect of developing conventions and streamlining communication (Goldin-Meadow &amp; Feldman, 1977) as well as they are an interesting minimal step towards abstraction as they are still basically iconic, yet only showing a part or aspect of the referent. At least for basic geometrical shapes, we know that while the production and completion of shapes in drawing (Cox, 2005; Dağlı &amp; Halat, 2016) develops throughout the preschool years,</w:delText>
        </w:r>
      </w:del>
      <w:ins w:id="80" w:author="Revision" w:date="2026-04-24T11:50:00Z" w16du:dateUtc="2026-04-24T09:50:00Z">
        <w:r>
          <w:t xml:space="preserve">To explore the continuum from iconic to abstract symbolic relationships, researchers can systematically reduce the resemblance between cue and target. Rather than varying levels of pictorial realism (Callaghan, 2000), one can minimize similarity to isolate the conceptual foundations of the mapping. While using such “reduced” cues may appear to violate the Gricean maxims of quantity (providing sufficient information) and manner (avoiding obscurity) (Grice, 1991), children are well-accustomed to suboptimal communication in daily life. Through processes like streamlining and conventionalization, they frequently encounter and successfully navigate ambiguous utterances; indeed, they often master and enjoy the interpretive decoding required in communicative games like charades (Bohn, Call, et al., 2019). An interesting case in question may be Pars Pro Toto in the graphic domain: part-whole relationships on the level of geometric figures could be an ideal target for an investigation into </w:t>
        </w:r>
        <w:r>
          <w:lastRenderedPageBreak/>
          <w:t>slightly abstract symbol-reference relationships as</w:t>
        </w:r>
      </w:ins>
      <w:r>
        <w:t xml:space="preserve"> shape recognition and naming are robust in the third and fourth year (Verdine, Bunger, Athanasopoulou, </w:t>
      </w:r>
      <w:proofErr w:type="spellStart"/>
      <w:r>
        <w:t>Golinkoff</w:t>
      </w:r>
      <w:proofErr w:type="spellEnd"/>
      <w:r>
        <w:t xml:space="preserve">, &amp; Hirsh-Pasek, 2017; Verdine, Lucca, </w:t>
      </w:r>
      <w:proofErr w:type="spellStart"/>
      <w:r>
        <w:t>Golinkoff</w:t>
      </w:r>
      <w:proofErr w:type="spellEnd"/>
      <w:r>
        <w:t xml:space="preserve">, Hirsh-Pasek, &amp; Newcombe, 2016; </w:t>
      </w:r>
      <w:proofErr w:type="spellStart"/>
      <w:r>
        <w:t>Zambrzycka</w:t>
      </w:r>
      <w:proofErr w:type="spellEnd"/>
      <w:r>
        <w:t xml:space="preserve">, </w:t>
      </w:r>
      <w:proofErr w:type="spellStart"/>
      <w:r>
        <w:t>Kotsopoulos</w:t>
      </w:r>
      <w:proofErr w:type="spellEnd"/>
      <w:r>
        <w:t xml:space="preserve">, Lee, &amp; Makosz, 2017) and the ability to mentally complete canonical geometric shapes is already nascent in early infancy (Kellman &amp; </w:t>
      </w:r>
      <w:proofErr w:type="spellStart"/>
      <w:r>
        <w:t>Spelke</w:t>
      </w:r>
      <w:proofErr w:type="spellEnd"/>
      <w:r>
        <w:t xml:space="preserve">, 1983; Valenza, Leo, Gava, &amp; Simion, 2006), </w:t>
      </w:r>
      <w:del w:id="81" w:author="Revision" w:date="2026-04-24T11:50:00Z" w16du:dateUtc="2026-04-24T09:50:00Z">
        <w:r>
          <w:delText>making part-whole relationships on the level of geometric figures an ideal target for an investigation into slightly abstract symbol-reference relationships that young children may be able to read at the beginning of the preschool years</w:delText>
        </w:r>
      </w:del>
      <w:ins w:id="82" w:author="Revision" w:date="2026-04-24T11:50:00Z" w16du:dateUtc="2026-04-24T09:50:00Z">
        <w:r>
          <w:t>yet there is currently no data on when children may be able to use pars pro toto cues in an object-choice context</w:t>
        </w:r>
      </w:ins>
      <w:r>
        <w:t>.</w:t>
      </w:r>
    </w:p>
    <w:p w14:paraId="7C1B906E" w14:textId="77777777" w:rsidR="00AE3AC5" w:rsidRDefault="00000000" w:rsidP="00FD67B5">
      <w:pPr>
        <w:pStyle w:val="Textkrper"/>
        <w:jc w:val="both"/>
        <w:rPr>
          <w:del w:id="83" w:author="Revision" w:date="2026-04-24T11:50:00Z" w16du:dateUtc="2026-04-24T09:50:00Z"/>
        </w:rPr>
      </w:pPr>
      <w:del w:id="84" w:author="Revision" w:date="2026-04-24T11:50:00Z" w16du:dateUtc="2026-04-24T09:50:00Z">
        <w:r>
          <w:delText>A highly abstract means</w:delText>
        </w:r>
      </w:del>
      <w:ins w:id="85" w:author="Revision" w:date="2026-04-24T11:50:00Z" w16du:dateUtc="2026-04-24T09:50:00Z">
        <w:r>
          <w:t>Another way</w:t>
        </w:r>
      </w:ins>
      <w:r>
        <w:t xml:space="preserve"> of </w:t>
      </w:r>
      <w:del w:id="86" w:author="Revision" w:date="2026-04-24T11:50:00Z" w16du:dateUtc="2026-04-24T09:50:00Z">
        <w:r>
          <w:delText>reference that is still rooted in</w:delText>
        </w:r>
      </w:del>
      <w:ins w:id="87" w:author="Revision" w:date="2026-04-24T11:50:00Z" w16du:dateUtc="2026-04-24T09:50:00Z">
        <w:r>
          <w:t>reducing</w:t>
        </w:r>
      </w:ins>
      <w:r>
        <w:t xml:space="preserve"> iconicity may be the metaphorical use of form</w:t>
      </w:r>
      <w:del w:id="88" w:author="Revision" w:date="2026-04-24T11:50:00Z" w16du:dateUtc="2026-04-24T09:50:00Z">
        <w:r>
          <w:delText xml:space="preserve"> or shape, for example, by referring to something pointy,</w:delText>
        </w:r>
      </w:del>
      <w:ins w:id="89" w:author="Revision" w:date="2026-04-24T11:50:00Z" w16du:dateUtc="2026-04-24T09:50:00Z">
        <w:r>
          <w:t>, such as using</w:t>
        </w:r>
      </w:ins>
      <w:r>
        <w:t xml:space="preserve"> sharp or spiky </w:t>
      </w:r>
      <w:del w:id="90" w:author="Revision" w:date="2026-04-24T11:50:00Z" w16du:dateUtc="2026-04-24T09:50:00Z">
        <w:r>
          <w:delText xml:space="preserve">with an edgy or more clear cut rectangular drawing </w:delText>
        </w:r>
      </w:del>
      <w:ins w:id="91" w:author="Revision" w:date="2026-04-24T11:50:00Z" w16du:dateUtc="2026-04-24T09:50:00Z">
        <w:r>
          <w:t xml:space="preserve">drawings to refer to more square or round shapes </w:t>
        </w:r>
      </w:ins>
      <w:r>
        <w:t>(</w:t>
      </w:r>
      <w:proofErr w:type="spellStart"/>
      <w:r>
        <w:t>Knoeferle</w:t>
      </w:r>
      <w:proofErr w:type="spellEnd"/>
      <w:r>
        <w:t xml:space="preserve">, Li, Maggioni, &amp; Spence, 2017). </w:t>
      </w:r>
      <w:del w:id="92" w:author="Revision" w:date="2026-04-24T11:50:00Z" w16du:dateUtc="2026-04-24T09:50:00Z">
        <w:r>
          <w:delText>Again, this</w:delText>
        </w:r>
      </w:del>
      <w:ins w:id="93" w:author="Revision" w:date="2026-04-24T11:50:00Z" w16du:dateUtc="2026-04-24T09:50:00Z">
        <w:r>
          <w:t>This phenomenon</w:t>
        </w:r>
      </w:ins>
      <w:r>
        <w:t xml:space="preserve"> is </w:t>
      </w:r>
      <w:del w:id="94" w:author="Revision" w:date="2026-04-24T11:50:00Z" w16du:dateUtc="2026-04-24T09:50:00Z">
        <w:r>
          <w:delText>common in language and became a focus of</w:delText>
        </w:r>
      </w:del>
      <w:ins w:id="95" w:author="Revision" w:date="2026-04-24T11:50:00Z" w16du:dateUtc="2026-04-24T09:50:00Z">
        <w:r>
          <w:t>central to</w:t>
        </w:r>
      </w:ins>
      <w:r>
        <w:t xml:space="preserve"> research </w:t>
      </w:r>
      <w:del w:id="96" w:author="Revision" w:date="2026-04-24T11:50:00Z" w16du:dateUtc="2026-04-24T09:50:00Z">
        <w:r>
          <w:delText>studying</w:delText>
        </w:r>
      </w:del>
      <w:ins w:id="97" w:author="Revision" w:date="2026-04-24T11:50:00Z" w16du:dateUtc="2026-04-24T09:50:00Z">
        <w:r>
          <w:t>on</w:t>
        </w:r>
      </w:ins>
      <w:r>
        <w:t xml:space="preserve"> sound symbolism </w:t>
      </w:r>
      <w:del w:id="98" w:author="Revision" w:date="2026-04-24T11:50:00Z" w16du:dateUtc="2026-04-24T09:50:00Z">
        <w:r>
          <w:delText>in</w:delText>
        </w:r>
      </w:del>
      <w:ins w:id="99" w:author="Revision" w:date="2026-04-24T11:50:00Z" w16du:dateUtc="2026-04-24T09:50:00Z">
        <w:r>
          <w:t>within</w:t>
        </w:r>
      </w:ins>
      <w:r>
        <w:t xml:space="preserve"> the lexicon (Bermúdez, 2020; Sidhu, 2025), as well as </w:t>
      </w:r>
      <w:del w:id="100" w:author="Revision" w:date="2026-04-24T11:50:00Z" w16du:dateUtc="2026-04-24T09:50:00Z">
        <w:r>
          <w:delText>actions</w:delText>
        </w:r>
      </w:del>
      <w:ins w:id="101" w:author="Revision" w:date="2026-04-24T11:50:00Z" w16du:dateUtc="2026-04-24T09:50:00Z">
        <w:r>
          <w:t>in studies of action</w:t>
        </w:r>
      </w:ins>
      <w:r>
        <w:t xml:space="preserve"> and gesture (Bohn, Call, </w:t>
      </w:r>
      <w:del w:id="102" w:author="Revision" w:date="2026-04-24T11:50:00Z" w16du:dateUtc="2026-04-24T09:50:00Z">
        <w:r>
          <w:delText>&amp; Tomasello,</w:delText>
        </w:r>
      </w:del>
      <w:ins w:id="103" w:author="Revision" w:date="2026-04-24T11:50:00Z" w16du:dateUtc="2026-04-24T09:50:00Z">
        <w:r>
          <w:t>et al.,</w:t>
        </w:r>
      </w:ins>
      <w:r>
        <w:t xml:space="preserve"> 2019; </w:t>
      </w:r>
      <w:proofErr w:type="spellStart"/>
      <w:r>
        <w:t>Margiotoudi</w:t>
      </w:r>
      <w:proofErr w:type="spellEnd"/>
      <w:r>
        <w:t xml:space="preserve"> &amp; </w:t>
      </w:r>
      <w:proofErr w:type="spellStart"/>
      <w:r>
        <w:t>Pulvermüller</w:t>
      </w:r>
      <w:proofErr w:type="spellEnd"/>
      <w:r>
        <w:t xml:space="preserve">, 2020). </w:t>
      </w:r>
      <w:del w:id="104" w:author="Revision" w:date="2026-04-24T11:50:00Z" w16du:dateUtc="2026-04-24T09:50:00Z">
        <w:r>
          <w:delText xml:space="preserve">The phenomenon is </w:delText>
        </w:r>
      </w:del>
      <w:r>
        <w:t>Robust across cultures (</w:t>
      </w:r>
      <w:proofErr w:type="spellStart"/>
      <w:r>
        <w:t>Ćwiek</w:t>
      </w:r>
      <w:proofErr w:type="spellEnd"/>
      <w:r>
        <w:t xml:space="preserve"> et al., 2022</w:t>
      </w:r>
      <w:del w:id="105" w:author="Revision" w:date="2026-04-24T11:50:00Z" w16du:dateUtc="2026-04-24T09:50:00Z">
        <w:r>
          <w:delText>) and children appear sensitive to sound symbolism matching words and shapes by about</w:delText>
        </w:r>
      </w:del>
      <w:ins w:id="106" w:author="Revision" w:date="2026-04-24T11:50:00Z" w16du:dateUtc="2026-04-24T09:50:00Z">
        <w:r>
          <w:t>), this sensitivity emerges around</w:t>
        </w:r>
      </w:ins>
      <w:r>
        <w:t xml:space="preserve"> 30 months </w:t>
      </w:r>
      <w:del w:id="107" w:author="Revision" w:date="2026-04-24T11:50:00Z" w16du:dateUtc="2026-04-24T09:50:00Z">
        <w:r>
          <w:delText xml:space="preserve">of age </w:delText>
        </w:r>
      </w:del>
      <w:ins w:id="108" w:author="Revision" w:date="2026-04-24T11:50:00Z" w16du:dateUtc="2026-04-24T09:50:00Z">
        <w:r>
          <w:t xml:space="preserve">for word-shape matching </w:t>
        </w:r>
      </w:ins>
      <w:r>
        <w:t xml:space="preserve">(Fort et al., 2018; Imai, Kita, Nagumo, &amp; Okada, 2008; Maurer, Pathman, &amp; Mondloch, 2006) and </w:t>
      </w:r>
      <w:ins w:id="109" w:author="Revision" w:date="2026-04-24T11:50:00Z" w16du:dateUtc="2026-04-24T09:50:00Z">
        <w:r>
          <w:t xml:space="preserve">by 36 months </w:t>
        </w:r>
      </w:ins>
      <w:r>
        <w:t xml:space="preserve">for matching actions with gestures </w:t>
      </w:r>
      <w:del w:id="110" w:author="Revision" w:date="2026-04-24T11:50:00Z" w16du:dateUtc="2026-04-24T09:50:00Z">
        <w:r>
          <w:delText xml:space="preserve">or vocalizations at 36 months </w:delText>
        </w:r>
      </w:del>
      <w:r>
        <w:t xml:space="preserve">(Bohn, Call, et al., 2019). </w:t>
      </w:r>
      <w:del w:id="111" w:author="Revision" w:date="2026-04-24T11:50:00Z" w16du:dateUtc="2026-04-24T09:50:00Z">
        <w:r>
          <w:delText xml:space="preserve">There is currently no data on </w:delText>
        </w:r>
      </w:del>
      <w:ins w:id="112" w:author="Revision" w:date="2026-04-24T11:50:00Z" w16du:dateUtc="2026-04-24T09:50:00Z">
        <w:r>
          <w:t xml:space="preserve">Despite these findings, it remains unknown </w:t>
        </w:r>
      </w:ins>
      <w:r>
        <w:t xml:space="preserve">whether children </w:t>
      </w:r>
      <w:del w:id="113" w:author="Revision" w:date="2026-04-24T11:50:00Z" w16du:dateUtc="2026-04-24T09:50:00Z">
        <w:r>
          <w:delText>are sensitive to an agreement in</w:delText>
        </w:r>
      </w:del>
      <w:ins w:id="114" w:author="Revision" w:date="2026-04-24T11:50:00Z" w16du:dateUtc="2026-04-24T09:50:00Z">
        <w:r>
          <w:t>can utilize</w:t>
        </w:r>
      </w:ins>
      <w:r>
        <w:t xml:space="preserve"> the </w:t>
      </w:r>
      <w:del w:id="115" w:author="Revision" w:date="2026-04-24T11:50:00Z" w16du:dateUtc="2026-04-24T09:50:00Z">
        <w:r>
          <w:delText>overall</w:delText>
        </w:r>
      </w:del>
      <w:ins w:id="116" w:author="Revision" w:date="2026-04-24T11:50:00Z" w16du:dateUtc="2026-04-24T09:50:00Z">
        <w:r>
          <w:t>global</w:t>
        </w:r>
      </w:ins>
      <w:r>
        <w:t xml:space="preserve"> properties </w:t>
      </w:r>
      <w:ins w:id="117" w:author="Revision" w:date="2026-04-24T11:50:00Z" w16du:dateUtc="2026-04-24T09:50:00Z">
        <w:r>
          <w:t xml:space="preserve">or “impressions” </w:t>
        </w:r>
      </w:ins>
      <w:r>
        <w:t xml:space="preserve">of a </w:t>
      </w:r>
      <w:del w:id="118" w:author="Revision" w:date="2026-04-24T11:50:00Z" w16du:dateUtc="2026-04-24T09:50:00Z">
        <w:r>
          <w:delText>shape or the impression that its</w:delText>
        </w:r>
      </w:del>
      <w:ins w:id="119" w:author="Revision" w:date="2026-04-24T11:50:00Z" w16du:dateUtc="2026-04-24T09:50:00Z">
        <w:r>
          <w:t>shape’s</w:t>
        </w:r>
      </w:ins>
      <w:r>
        <w:t xml:space="preserve"> form </w:t>
      </w:r>
      <w:del w:id="120" w:author="Revision" w:date="2026-04-24T11:50:00Z" w16du:dateUtc="2026-04-24T09:50:00Z">
        <w:r>
          <w:delText>conveys for grounding reference.</w:delText>
        </w:r>
      </w:del>
    </w:p>
    <w:p w14:paraId="62E5372C" w14:textId="77777777" w:rsidR="005D4CD1" w:rsidRDefault="00000000" w:rsidP="00671125">
      <w:pPr>
        <w:pStyle w:val="Textkrper"/>
        <w:jc w:val="both"/>
        <w:rPr>
          <w:ins w:id="121" w:author="Revision" w:date="2026-04-24T11:50:00Z" w16du:dateUtc="2026-04-24T09:50:00Z"/>
        </w:rPr>
      </w:pPr>
      <w:del w:id="122" w:author="Revision" w:date="2026-04-24T11:50:00Z" w16du:dateUtc="2026-04-24T09:50:00Z">
        <w:r>
          <w:lastRenderedPageBreak/>
          <w:delText xml:space="preserve">As with the other dimensions reported above, there is evidence that children are sensitive </w:delText>
        </w:r>
      </w:del>
      <w:r>
        <w:t xml:space="preserve">to </w:t>
      </w:r>
      <w:del w:id="123" w:author="Revision" w:date="2026-04-24T11:50:00Z" w16du:dateUtc="2026-04-24T09:50:00Z">
        <w:r>
          <w:delText xml:space="preserve">Gestalt principles like closure and spatial dimensions of composition position, </w:delText>
        </w:r>
      </w:del>
      <w:ins w:id="124" w:author="Revision" w:date="2026-04-24T11:50:00Z" w16du:dateUtc="2026-04-24T09:50:00Z">
        <w:r>
          <w:t>ground reference in the graphic domain alone.</w:t>
        </w:r>
      </w:ins>
    </w:p>
    <w:p w14:paraId="0E82724C" w14:textId="77777777" w:rsidR="005D4CD1" w:rsidRDefault="00000000" w:rsidP="00671125">
      <w:pPr>
        <w:pStyle w:val="Textkrper"/>
        <w:jc w:val="both"/>
      </w:pPr>
      <w:ins w:id="125" w:author="Revision" w:date="2026-04-24T11:50:00Z" w16du:dateUtc="2026-04-24T09:50:00Z">
        <w:r>
          <w:t xml:space="preserve">To minimize iconicity in symbol-referent relationships, cues and targets may share global properties like </w:t>
        </w:r>
      </w:ins>
      <w:r>
        <w:t xml:space="preserve">orientation and alignment </w:t>
      </w:r>
      <w:del w:id="126" w:author="Revision" w:date="2026-04-24T11:50:00Z" w16du:dateUtc="2026-04-24T09:50:00Z">
        <w:r>
          <w:delText xml:space="preserve">in graphic displays but there is </w:delText>
        </w:r>
      </w:del>
      <w:ins w:id="127" w:author="Revision" w:date="2026-04-24T11:50:00Z" w16du:dateUtc="2026-04-24T09:50:00Z">
        <w:r>
          <w:t xml:space="preserve">rather than specific shapes. Children demonstrate an early sensitivity to these compositional principles in their drawings, maintaining realistic spatial configurations (e.g. placing wheels beneath a car when drawing) and avoiding figure overlap (Cox, 2005; </w:t>
        </w:r>
        <w:proofErr w:type="spellStart"/>
        <w:r>
          <w:t>Luquet</w:t>
        </w:r>
        <w:proofErr w:type="spellEnd"/>
        <w:r>
          <w:t xml:space="preserve"> &amp; Costall, 2001; Piaget, Inhelder, &amp; Bovet, 1997). However, there is </w:t>
        </w:r>
      </w:ins>
      <w:r>
        <w:t xml:space="preserve">virtually no data on how likely children are to </w:t>
      </w:r>
      <w:del w:id="128" w:author="Revision" w:date="2026-04-24T11:50:00Z" w16du:dateUtc="2026-04-24T09:50:00Z">
        <w:r>
          <w:delText>perceive such aspects of graphical stimuli to convey meaning. Closure appears to be a basic principle</w:delText>
        </w:r>
      </w:del>
      <w:ins w:id="129" w:author="Revision" w:date="2026-04-24T11:50:00Z" w16du:dateUtc="2026-04-24T09:50:00Z">
        <w:r>
          <w:t>use Gestalt principles as a basis for forming symbol-referent relationships, except</w:t>
        </w:r>
      </w:ins>
      <w:r>
        <w:t xml:space="preserve"> for </w:t>
      </w:r>
      <w:del w:id="130" w:author="Revision" w:date="2026-04-24T11:50:00Z" w16du:dateUtc="2026-04-24T09:50:00Z">
        <w:r>
          <w:delText xml:space="preserve">graphic production, as children rarely draw overlapping figures (Cox, 2005; Piaget, Inhelder, &amp; Bovet, 1997). Relative position is intuitively used by children even in their earliest figural drawings when arranging items in scenes, such as children next to an ice-cream van, but also when achieving “intellectual realism” in depicting complex objects (Luquet &amp; Costall, 2001). That is, while children’s drawings may not look realistic per se, they are true to the invariant organisation of a depicted item via the </w:delText>
        </w:r>
      </w:del>
      <w:ins w:id="131" w:author="Revision" w:date="2026-04-24T11:50:00Z" w16du:dateUtc="2026-04-24T09:50:00Z">
        <w:r>
          <w:t xml:space="preserve">the use of </w:t>
        </w:r>
      </w:ins>
      <w:r>
        <w:t xml:space="preserve">relative position </w:t>
      </w:r>
      <w:del w:id="132" w:author="Revision" w:date="2026-04-24T11:50:00Z" w16du:dateUtc="2026-04-24T09:50:00Z">
        <w:r>
          <w:delText xml:space="preserve">of the defining elements: when drawing a car, the wheels will be added at the bottom rather than on top (Cox, 2005). In both cases, relative position and orientation on the level of the individual object or scene may be discussed as iconic. A more abstract or conceptual use of relative position for conveying information is present in children’s </w:delText>
        </w:r>
      </w:del>
      <w:ins w:id="133" w:author="Revision" w:date="2026-04-24T11:50:00Z" w16du:dateUtc="2026-04-24T09:50:00Z">
        <w:r>
          <w:t xml:space="preserve">in the </w:t>
        </w:r>
      </w:ins>
      <w:r>
        <w:t xml:space="preserve">developing ability to read maps. </w:t>
      </w:r>
      <w:ins w:id="134" w:author="Revision" w:date="2026-04-24T11:50:00Z" w16du:dateUtc="2026-04-24T09:50:00Z">
        <w:r>
          <w:t xml:space="preserve">While four-year-olds possess </w:t>
        </w:r>
      </w:ins>
      <w:r>
        <w:t xml:space="preserve">an intuitive </w:t>
      </w:r>
      <w:del w:id="135" w:author="Revision" w:date="2026-04-24T11:50:00Z" w16du:dateUtc="2026-04-24T09:50:00Z">
        <w:r>
          <w:delText>understanding</w:delText>
        </w:r>
      </w:del>
      <w:ins w:id="136" w:author="Revision" w:date="2026-04-24T11:50:00Z" w16du:dateUtc="2026-04-24T09:50:00Z">
        <w:r>
          <w:t>grasp</w:t>
        </w:r>
      </w:ins>
      <w:r>
        <w:t xml:space="preserve"> of </w:t>
      </w:r>
      <w:del w:id="137" w:author="Revision" w:date="2026-04-24T11:50:00Z" w16du:dateUtc="2026-04-24T09:50:00Z">
        <w:r>
          <w:delText xml:space="preserve">basic maps allowing children to extract </w:delText>
        </w:r>
      </w:del>
      <w:r>
        <w:t xml:space="preserve">relational directions </w:t>
      </w:r>
      <w:del w:id="138" w:author="Revision" w:date="2026-04-24T11:50:00Z" w16du:dateUtc="2026-04-24T09:50:00Z">
        <w:r>
          <w:delText>such as</w:delText>
        </w:r>
      </w:del>
      <w:ins w:id="139" w:author="Revision" w:date="2026-04-24T11:50:00Z" w16du:dateUtc="2026-04-24T09:50:00Z">
        <w:r>
          <w:t>(e.g.,</w:t>
        </w:r>
      </w:ins>
      <w:r>
        <w:t xml:space="preserve"> “behind</w:t>
      </w:r>
      <w:del w:id="140" w:author="Revision" w:date="2026-04-24T11:50:00Z" w16du:dateUtc="2026-04-24T09:50:00Z">
        <w:r>
          <w:delText xml:space="preserve"> me</w:delText>
        </w:r>
      </w:del>
      <w:r>
        <w:t>” or “in front</w:t>
      </w:r>
      <w:del w:id="141" w:author="Revision" w:date="2026-04-24T11:50:00Z" w16du:dateUtc="2026-04-24T09:50:00Z">
        <w:r>
          <w:delText xml:space="preserve"> of me” is accessible by four years of age and even so in the absence of training </w:delText>
        </w:r>
      </w:del>
      <w:ins w:id="142" w:author="Revision" w:date="2026-04-24T11:50:00Z" w16du:dateUtc="2026-04-24T09:50:00Z">
        <w:r>
          <w:t xml:space="preserve">”) in basic maps </w:t>
        </w:r>
      </w:ins>
      <w:r>
        <w:t>(Landau, 1986</w:t>
      </w:r>
      <w:del w:id="143" w:author="Revision" w:date="2026-04-24T11:50:00Z" w16du:dateUtc="2026-04-24T09:50:00Z">
        <w:r>
          <w:delText>) but</w:delText>
        </w:r>
      </w:del>
      <w:ins w:id="144" w:author="Revision" w:date="2026-04-24T11:50:00Z" w16du:dateUtc="2026-04-24T09:50:00Z">
        <w:r>
          <w:t>),</w:t>
        </w:r>
      </w:ins>
      <w:r>
        <w:t xml:space="preserve"> iconicity </w:t>
      </w:r>
      <w:del w:id="145" w:author="Revision" w:date="2026-04-24T11:50:00Z" w16du:dateUtc="2026-04-24T09:50:00Z">
        <w:r>
          <w:delText>is again very</w:delText>
        </w:r>
      </w:del>
      <w:ins w:id="146" w:author="Revision" w:date="2026-04-24T11:50:00Z" w16du:dateUtc="2026-04-24T09:50:00Z">
        <w:r>
          <w:t>remains an</w:t>
        </w:r>
      </w:ins>
      <w:r>
        <w:t xml:space="preserve"> important </w:t>
      </w:r>
      <w:ins w:id="147" w:author="Revision" w:date="2026-04-24T11:50:00Z" w16du:dateUtc="2026-04-24T09:50:00Z">
        <w:r>
          <w:lastRenderedPageBreak/>
          <w:t xml:space="preserve">scaffold </w:t>
        </w:r>
      </w:ins>
      <w:r>
        <w:t xml:space="preserve">for </w:t>
      </w:r>
      <w:del w:id="148" w:author="Revision" w:date="2026-04-24T11:50:00Z" w16du:dateUtc="2026-04-24T09:50:00Z">
        <w:r>
          <w:delText>grasping the</w:delText>
        </w:r>
      </w:del>
      <w:ins w:id="149" w:author="Revision" w:date="2026-04-24T11:50:00Z" w16du:dateUtc="2026-04-24T09:50:00Z">
        <w:r>
          <w:t>their</w:t>
        </w:r>
      </w:ins>
      <w:r>
        <w:t xml:space="preserve"> conceptual </w:t>
      </w:r>
      <w:del w:id="150" w:author="Revision" w:date="2026-04-24T11:50:00Z" w16du:dateUtc="2026-04-24T09:50:00Z">
        <w:r>
          <w:delText>space depicted in maps</w:delText>
        </w:r>
      </w:del>
      <w:ins w:id="151" w:author="Revision" w:date="2026-04-24T11:50:00Z" w16du:dateUtc="2026-04-24T09:50:00Z">
        <w:r>
          <w:t>understanding</w:t>
        </w:r>
      </w:ins>
      <w:r>
        <w:t xml:space="preserve"> (Liben &amp; Downs, 2013). </w:t>
      </w:r>
      <w:del w:id="152" w:author="Revision" w:date="2026-04-24T11:50:00Z" w16du:dateUtc="2026-04-24T09:50:00Z">
        <w:r>
          <w:delText xml:space="preserve">Likewise, 4-year-olds </w:delText>
        </w:r>
      </w:del>
      <w:ins w:id="153" w:author="Revision" w:date="2026-04-24T11:50:00Z" w16du:dateUtc="2026-04-24T09:50:00Z">
        <w:r>
          <w:t xml:space="preserve">Furthermore, although preschoolers </w:t>
        </w:r>
      </w:ins>
      <w:r>
        <w:t xml:space="preserve">can use geometric </w:t>
      </w:r>
      <w:ins w:id="154" w:author="Revision" w:date="2026-04-24T11:50:00Z" w16du:dateUtc="2026-04-24T09:50:00Z">
        <w:r>
          <w:t xml:space="preserve">map </w:t>
        </w:r>
      </w:ins>
      <w:r>
        <w:t xml:space="preserve">information </w:t>
      </w:r>
      <w:del w:id="155" w:author="Revision" w:date="2026-04-24T11:50:00Z" w16du:dateUtc="2026-04-24T09:50:00Z">
        <w:r>
          <w:delText>from maps to navigate real space</w:delText>
        </w:r>
      </w:del>
      <w:ins w:id="156" w:author="Revision" w:date="2026-04-24T11:50:00Z" w16du:dateUtc="2026-04-24T09:50:00Z">
        <w:r>
          <w:t>for local navigation</w:t>
        </w:r>
      </w:ins>
      <w:r>
        <w:t xml:space="preserve"> (Shusterman, Ah Lee, &amp; </w:t>
      </w:r>
      <w:proofErr w:type="spellStart"/>
      <w:r>
        <w:t>Spelke</w:t>
      </w:r>
      <w:proofErr w:type="spellEnd"/>
      <w:r>
        <w:t xml:space="preserve">, 2008), </w:t>
      </w:r>
      <w:del w:id="157" w:author="Revision" w:date="2026-04-24T11:50:00Z" w16du:dateUtc="2026-04-24T09:50:00Z">
        <w:r>
          <w:delText xml:space="preserve">but </w:delText>
        </w:r>
      </w:del>
      <w:r>
        <w:t xml:space="preserve">the </w:t>
      </w:r>
      <w:del w:id="158" w:author="Revision" w:date="2026-04-24T11:50:00Z" w16du:dateUtc="2026-04-24T09:50:00Z">
        <w:r>
          <w:delText>more demanding</w:delText>
        </w:r>
      </w:del>
      <w:ins w:id="159" w:author="Revision" w:date="2026-04-24T11:50:00Z" w16du:dateUtc="2026-04-24T09:50:00Z">
        <w:r>
          <w:t>ability to</w:t>
        </w:r>
      </w:ins>
      <w:r>
        <w:t xml:space="preserve"> transfer </w:t>
      </w:r>
      <w:del w:id="160" w:author="Revision" w:date="2026-04-24T11:50:00Z" w16du:dateUtc="2026-04-24T09:50:00Z">
        <w:r>
          <w:delText>from maps to real-world settings with larger</w:delText>
        </w:r>
      </w:del>
      <w:ins w:id="161" w:author="Revision" w:date="2026-04-24T11:50:00Z" w16du:dateUtc="2026-04-24T09:50:00Z">
        <w:r>
          <w:t>these relational cues to large-scale</w:t>
        </w:r>
      </w:ins>
      <w:r>
        <w:t xml:space="preserve"> spatial arrays </w:t>
      </w:r>
      <w:del w:id="162" w:author="Revision" w:date="2026-04-24T11:50:00Z" w16du:dateUtc="2026-04-24T09:50:00Z">
        <w:r>
          <w:delText xml:space="preserve">is unstable prior to </w:delText>
        </w:r>
      </w:del>
      <w:ins w:id="163" w:author="Revision" w:date="2026-04-24T11:50:00Z" w16du:dateUtc="2026-04-24T09:50:00Z">
        <w:r>
          <w:t xml:space="preserve">does not stabilize until age </w:t>
        </w:r>
      </w:ins>
      <w:r>
        <w:t xml:space="preserve">six </w:t>
      </w:r>
      <w:del w:id="164" w:author="Revision" w:date="2026-04-24T11:50:00Z" w16du:dateUtc="2026-04-24T09:50:00Z">
        <w:r>
          <w:delText>to</w:delText>
        </w:r>
      </w:del>
      <w:ins w:id="165" w:author="Revision" w:date="2026-04-24T11:50:00Z" w16du:dateUtc="2026-04-24T09:50:00Z">
        <w:r>
          <w:t>or</w:t>
        </w:r>
      </w:ins>
      <w:r>
        <w:t xml:space="preserve"> seven </w:t>
      </w:r>
      <w:del w:id="166" w:author="Revision" w:date="2026-04-24T11:50:00Z" w16du:dateUtc="2026-04-24T09:50:00Z">
        <w:r>
          <w:delText xml:space="preserve">years of age </w:delText>
        </w:r>
      </w:del>
      <w:r>
        <w:t>(Blades &amp; Spencer, 1994; Uttal &amp; Wellman, 1989).</w:t>
      </w:r>
    </w:p>
    <w:p w14:paraId="3D6782E2" w14:textId="77777777" w:rsidR="005D4CD1" w:rsidRDefault="00000000" w:rsidP="00671125">
      <w:pPr>
        <w:pStyle w:val="Textkrper"/>
        <w:jc w:val="both"/>
      </w:pPr>
      <w:ins w:id="167" w:author="Revision" w:date="2026-04-24T11:50:00Z" w16du:dateUtc="2026-04-24T09:50:00Z">
        <w:r>
          <w:t xml:space="preserve">Finally, alignment between cue and target may also be based on analogies in size and number disregarding shape. </w:t>
        </w:r>
      </w:ins>
      <w:r>
        <w:t>Size is a relative property of graphical content and requires a comparison</w:t>
      </w:r>
      <w:del w:id="168" w:author="Revision" w:date="2026-04-24T11:50:00Z" w16du:dateUtc="2026-04-24T09:50:00Z">
        <w:r>
          <w:delText xml:space="preserve"> between items</w:delText>
        </w:r>
      </w:del>
      <w:r>
        <w:t xml:space="preserve">, for example when drawing a big and small </w:t>
      </w:r>
      <w:del w:id="169" w:author="Revision" w:date="2026-04-24T11:50:00Z" w16du:dateUtc="2026-04-24T09:50:00Z">
        <w:r>
          <w:delText>dog,</w:delText>
        </w:r>
      </w:del>
      <w:ins w:id="170" w:author="Revision" w:date="2026-04-24T11:50:00Z" w16du:dateUtc="2026-04-24T09:50:00Z">
        <w:r>
          <w:t>object</w:t>
        </w:r>
      </w:ins>
      <w:r>
        <w:t xml:space="preserve"> or </w:t>
      </w:r>
      <w:ins w:id="171" w:author="Revision" w:date="2026-04-24T11:50:00Z" w16du:dateUtc="2026-04-24T09:50:00Z">
        <w:r>
          <w:t xml:space="preserve">conveying size by making </w:t>
        </w:r>
      </w:ins>
      <w:r>
        <w:t xml:space="preserve">an </w:t>
      </w:r>
      <w:del w:id="172" w:author="Revision" w:date="2026-04-24T11:50:00Z" w16du:dateUtc="2026-04-24T09:50:00Z">
        <w:r>
          <w:delText>appreciation</w:delText>
        </w:r>
      </w:del>
      <w:ins w:id="173" w:author="Revision" w:date="2026-04-24T11:50:00Z" w16du:dateUtc="2026-04-24T09:50:00Z">
        <w:r>
          <w:t>object occupy a large part</w:t>
        </w:r>
      </w:ins>
      <w:r>
        <w:t xml:space="preserve"> of </w:t>
      </w:r>
      <w:del w:id="174" w:author="Revision" w:date="2026-04-24T11:50:00Z" w16du:dateUtc="2026-04-24T09:50:00Z">
        <w:r>
          <w:delText xml:space="preserve">an item’s relation to </w:delText>
        </w:r>
      </w:del>
      <w:r>
        <w:t xml:space="preserve">the frame of reference </w:t>
      </w:r>
      <w:del w:id="175" w:author="Revision" w:date="2026-04-24T11:50:00Z" w16du:dateUtc="2026-04-24T09:50:00Z">
        <w:r>
          <w:delText>it occurs in, as when a child may try to convey the concept of a big dog by making it occupy the entire piece of paper it is drawing on (Cox, 2005).</w:delText>
        </w:r>
      </w:del>
      <w:ins w:id="176" w:author="Revision" w:date="2026-04-24T11:50:00Z" w16du:dateUtc="2026-04-24T09:50:00Z">
        <w:r>
          <w:t>(Cox, 2005).</w:t>
        </w:r>
      </w:ins>
      <w:r>
        <w:t xml:space="preserve"> Children are able to make spontaneous or productive size comparisons at three years of age and begin to use size words </w:t>
      </w:r>
      <w:del w:id="177" w:author="Revision" w:date="2026-04-24T11:50:00Z" w16du:dateUtc="2026-04-24T09:50:00Z">
        <w:r>
          <w:delText xml:space="preserve">size words </w:delText>
        </w:r>
      </w:del>
      <w:r>
        <w:t>(</w:t>
      </w:r>
      <w:r>
        <w:rPr>
          <w:i/>
          <w:iCs/>
        </w:rPr>
        <w:t>big</w:t>
      </w:r>
      <w:r>
        <w:t>), size superlatives (</w:t>
      </w:r>
      <w:r>
        <w:rPr>
          <w:i/>
          <w:iCs/>
        </w:rPr>
        <w:t>biggest</w:t>
      </w:r>
      <w:r>
        <w:t>), or quantifiers (</w:t>
      </w:r>
      <w:r>
        <w:rPr>
          <w:i/>
          <w:iCs/>
        </w:rPr>
        <w:t>more</w:t>
      </w:r>
      <w:r>
        <w:t xml:space="preserve">, </w:t>
      </w:r>
      <w:r>
        <w:rPr>
          <w:i/>
          <w:iCs/>
        </w:rPr>
        <w:t>most</w:t>
      </w:r>
      <w:r>
        <w:t xml:space="preserve">) (Ferry et al., 2025), yet young children are most accurate with </w:t>
      </w:r>
      <w:r>
        <w:rPr>
          <w:i/>
          <w:iCs/>
        </w:rPr>
        <w:t>bigger</w:t>
      </w:r>
      <w:r>
        <w:t xml:space="preserve"> and only gradually gain competence with words like </w:t>
      </w:r>
      <w:r>
        <w:rPr>
          <w:i/>
          <w:iCs/>
        </w:rPr>
        <w:t>smaller</w:t>
      </w:r>
      <w:r>
        <w:t xml:space="preserve">, </w:t>
      </w:r>
      <w:r>
        <w:rPr>
          <w:i/>
          <w:iCs/>
        </w:rPr>
        <w:t>shorter</w:t>
      </w:r>
      <w:r>
        <w:t xml:space="preserve"> or </w:t>
      </w:r>
      <w:r>
        <w:rPr>
          <w:i/>
          <w:iCs/>
        </w:rPr>
        <w:t>longer</w:t>
      </w:r>
      <w:r>
        <w:t xml:space="preserve"> (</w:t>
      </w:r>
      <w:proofErr w:type="spellStart"/>
      <w:r>
        <w:t>Frausel</w:t>
      </w:r>
      <w:proofErr w:type="spellEnd"/>
      <w:r>
        <w:t xml:space="preserve"> et al., 2020). When presented with an array of graphic stimuli, preschoolers can reliably point at, for example, the smallest or largest item in a set (Haun &amp; Tomasello, 2011). </w:t>
      </w:r>
      <w:del w:id="178" w:author="Revision" w:date="2026-04-24T11:50:00Z" w16du:dateUtc="2026-04-24T09:50:00Z">
        <w:r>
          <w:delText xml:space="preserve">While three- and four-year-olds can identify larger or smaller graphic items, the canonical size of the depicted objects can interfere leading to stroop-like errors (Long, Moher, Carey, &amp; Konkle, 2019). When presented with three different geometric shapes in matching or non-matching dimensions (e.g. large, large, small) in match-to-sample tasks, children are quite unlikely to spontaneously infer size as the basis for matching even around the fourth birthday (Kroupin &amp; Carey, 2022b). </w:delText>
        </w:r>
      </w:del>
      <w:r>
        <w:t xml:space="preserve">One of the few studies using size as a way for grounding reference, investigated the role of the producers intentions in identifying concepts in </w:t>
      </w:r>
      <w:r>
        <w:lastRenderedPageBreak/>
        <w:t>ambiguous scribble drawings that were presented to participants as aiming to depict, for example, a small spider next to a big house. Children here made use of spatial analogies beginning at three years of age but appeared to benefit more as they turned four (Bloom &amp; Markson, 1998).</w:t>
      </w:r>
      <w:ins w:id="179" w:author="Revision" w:date="2026-04-24T11:50:00Z" w16du:dateUtc="2026-04-24T09:50:00Z">
        <w:r>
          <w:t xml:space="preserve"> Similarly, number is a relational primitive and a foundational element of graphic communication (Cooperrider &amp; Gentner, 2019; Ifrah, 2000). Sensitivity to number per se develops from an infant’s implicit grasp of proximate numerical differences (Carey, 2000; Starr, Libertus, &amp; Brannon, 2013; Xu &amp; Arriaga, 2007) to an explicit understanding of numerical systems (Carey &amp; Barner, 2019). Supported by early home environments (</w:t>
        </w:r>
        <w:proofErr w:type="spellStart"/>
        <w:r>
          <w:t>Daucourt</w:t>
        </w:r>
        <w:proofErr w:type="spellEnd"/>
        <w:r>
          <w:t>, Napoli, Quinn, Wood, &amp; Hart, 2021) and preschool curricula (</w:t>
        </w:r>
        <w:proofErr w:type="spellStart"/>
        <w:r>
          <w:t>Kucharz</w:t>
        </w:r>
        <w:proofErr w:type="spellEnd"/>
        <w:r>
          <w:t>, 2012; Schmidt, Sauerbrey, &amp; Smidt, 2021), children typically master the cardinality principle by age four (Carey &amp; Barner, 2019; Silver &amp; Libertus, 2022). Preschoolers are well equipped to successfully apply their implicit and explicit numerical knowledge in practical contexts, such as comparing magnitudes smaller than five (Wynn, 1990).</w:t>
        </w:r>
      </w:ins>
    </w:p>
    <w:p w14:paraId="35FD4502" w14:textId="77777777" w:rsidR="00AE3AC5" w:rsidRDefault="00000000" w:rsidP="00FD67B5">
      <w:pPr>
        <w:pStyle w:val="Textkrper"/>
        <w:jc w:val="both"/>
        <w:rPr>
          <w:del w:id="180" w:author="Revision" w:date="2026-04-24T11:50:00Z" w16du:dateUtc="2026-04-24T09:50:00Z"/>
        </w:rPr>
      </w:pPr>
      <w:del w:id="181" w:author="Revision" w:date="2026-04-24T11:50:00Z" w16du:dateUtc="2026-04-24T09:50:00Z">
        <w:r>
          <w:delText xml:space="preserve">Number, is another relational concept, and an absolute primitive in graphic communication (Cooperrider &amp; Gentner, 2019; Ifrah, 2000) likely to be the conceptual space that the very first historic systems of writing were trying to capture. Judgments of quantity have been studied extensively in developmental psychology and identified both implicit and explicit number systems (Carey &amp; Barner, 2019). Infants already have an implicit proximate grasp of differences in number (Starr, Libertus, &amp; Brannon, 2013) with one versus three being one of the most early comparisons possible, which is also frequently used as the most simple tasks in comparative work (Carey, 2000; Eckert, Bohn, &amp; Spaethe, 2022; Xu &amp; Arriaga, 2007). Preschoolers growing up in industrialized environments are constantly surrounded by math tasks in the form of various games (Daucourt, Napoli, Quinn, Wood, &amp; Hart, 2021) as well as preschool curricula incentivizing a playful engagement with quantities, number symbols and shapes (Kucharz, 2012; Schmidt, Sauerbrey, &amp; Smidt, 2021). By four years of age, children have a basic grasp of the </w:delText>
        </w:r>
        <w:r>
          <w:lastRenderedPageBreak/>
          <w:delText>cardinal principle, that is basic understanding of the relation of number words and fixed quantities (Carey &amp; Barner, 2019; Silver &amp; Libertus, 2022) and they are able to use that knowledge in practical everyday contexts, for example when comparing comparing numbers with magnitudes smaller than five (Wynn, 1990). In match-to-sample tasks, children spontaneously infer number as a basis of comparison at 48–60 months (Kroupin &amp; Carey, 2022b).</w:delText>
        </w:r>
      </w:del>
    </w:p>
    <w:p w14:paraId="504D262E" w14:textId="77777777" w:rsidR="00AE3AC5" w:rsidRDefault="00000000" w:rsidP="00FD67B5">
      <w:pPr>
        <w:pStyle w:val="Textkrper"/>
        <w:jc w:val="both"/>
        <w:rPr>
          <w:del w:id="182" w:author="Revision" w:date="2026-04-24T11:50:00Z" w16du:dateUtc="2026-04-24T09:50:00Z"/>
        </w:rPr>
      </w:pPr>
      <w:del w:id="183" w:author="Revision" w:date="2026-04-24T11:50:00Z" w16du:dateUtc="2026-04-24T09:50:00Z">
        <w:r>
          <w:delText xml:space="preserve">From this review of children’s ability to appreciate various basic dimensions of graphic depictions and their sensitivity to these as means for conveying information, we can identify a couple of research desiderata. Most striking is the literature’s focus on similarity and iconicity (Callaghan &amp; Corbit, 2015). Mappings between symbol and referent can take place along a number of conceptual dimensions and few studies explicitly address these. Against this background, a systematic and comprehensive investigation of the conceptual dimensions along which graphic symbols can be imbued with meaning, will help to evaluate the extent to which children’s competence is specific to certain types of symbol-referent-relationships or generalizes across mappings based on analogy in form, size, number, or Gestalt principles. The strong focus on iconicity often goes together with graphic stimuli depicting actual real world objects. Here familiarity with the depicted object, its canonical features and even conventional ways of drawing them may interfere with the aim of investigating cognitive capacities rather than knowledge of culturally imbued graphic conventions, script or icons. By contrast, this studies below investigate young children’s spontaneous comprehension of unfamiliar graphic symbols that gain meaning from being produced in a specific and highly restricted context where symbol and referent align in certain conceptual dimensions with decreasing iconicity. Therefore, they focus on children’s pragmatic competencies and their ability to identify shared features across graphic displays used as target and referent. To the extent that children are highly unlikely to have encountered the specific graphic cues used here, our findings showcase their ability to grasp a novel symbolic </w:delText>
        </w:r>
        <w:r>
          <w:lastRenderedPageBreak/>
          <w:delText>practice and acquire novel symbols. This may limit the influence of children’s knowledge of conventional symbols on performance and make results more robust and informative for research about the acquisition or emergence of communicative systems despite spanning an age-range where children become competent users of script, numerals or drawings.</w:delText>
        </w:r>
      </w:del>
    </w:p>
    <w:p w14:paraId="4714F78F" w14:textId="77777777" w:rsidR="005D4CD1" w:rsidRDefault="00000000" w:rsidP="00671125">
      <w:pPr>
        <w:pStyle w:val="Textkrper"/>
        <w:jc w:val="both"/>
        <w:rPr>
          <w:ins w:id="184" w:author="Revision" w:date="2026-04-24T11:50:00Z" w16du:dateUtc="2026-04-24T09:50:00Z"/>
        </w:rPr>
      </w:pPr>
      <w:ins w:id="185" w:author="Revision" w:date="2026-04-24T11:50:00Z" w16du:dateUtc="2026-04-24T09:50:00Z">
        <w:r>
          <w:t xml:space="preserve">While children appear generally sensitive to and able to make comparisons along the conceptual dimensions of shape, orientation, size and number, studies directly testing them as grounds for establishing reference are very rare. A highly valuable point of reference can be found in the literature on relational and non-relational match-to-sample tasks where studies often comprise various stimulus sets or conditions probing these matching dimensions. While matching shapes in match-to-sample (MTS) tasks poses little challenge for children beyond age three (Gerhardstein &amp; </w:t>
        </w:r>
        <w:proofErr w:type="spellStart"/>
        <w:r>
          <w:t>Rovee</w:t>
        </w:r>
        <w:proofErr w:type="spellEnd"/>
        <w:r>
          <w:t xml:space="preserve">-Collier, 2002; </w:t>
        </w:r>
        <w:proofErr w:type="spellStart"/>
        <w:r>
          <w:t>Kroupin</w:t>
        </w:r>
        <w:proofErr w:type="spellEnd"/>
        <w:r>
          <w:t xml:space="preserve"> &amp; Carey, 2022b), utilizing relational dimensions like size or number remains difficult. Even by age four, children rarely spontaneously infer size as a matching criterion in three-item MTS arrays, and success in number-based matching typically emerges between ages four and five (</w:t>
        </w:r>
        <w:proofErr w:type="spellStart"/>
        <w:r>
          <w:t>Kroupin</w:t>
        </w:r>
        <w:proofErr w:type="spellEnd"/>
        <w:r>
          <w:t xml:space="preserve"> &amp; Carey, 2022b). These difficulties intensify in relational match-to-sample (RMTS) tasks, which require coordinating at least six items to identify higher-order patterns of identity (AA, BB, AB) or difference (AB, BA, BB). Mastery across dimensions is generally absent prior to age five, as the task requires navigating abstract generalizations and suppressing prepotent responses to superficial features - taxing both executive function and working memory (Gentner &amp; Hoyos, 2017; </w:t>
        </w:r>
        <w:proofErr w:type="spellStart"/>
        <w:r>
          <w:t>Kroupin</w:t>
        </w:r>
        <w:proofErr w:type="spellEnd"/>
        <w:r>
          <w:t xml:space="preserve"> &amp; Carey, 2022a, 2022b). However, performance can be scaffolded. Four-year-olds succeed when relations are embedded in causal narratives (Goddu, </w:t>
        </w:r>
        <w:proofErr w:type="spellStart"/>
        <w:r>
          <w:t>Lombrozo</w:t>
        </w:r>
        <w:proofErr w:type="spellEnd"/>
        <w:r>
          <w:t xml:space="preserve">, &amp; Gopnik, 2020), and even three-year-olds improve following explicit training with the terms </w:t>
        </w:r>
        <w:r>
          <w:rPr>
            <w:i/>
            <w:iCs/>
          </w:rPr>
          <w:t>same</w:t>
        </w:r>
        <w:r>
          <w:t xml:space="preserve"> and </w:t>
        </w:r>
        <w:r>
          <w:rPr>
            <w:i/>
            <w:iCs/>
          </w:rPr>
          <w:t>different</w:t>
        </w:r>
        <w:r>
          <w:t xml:space="preserve"> (Christie &amp; Gentner, 2014). A critical distinction exists between these paradigms and symbolic object-choice tasks. In MTS/RMTS, children are explicitly instructed to find matches as an end in itself. Conversely, the </w:t>
        </w:r>
        <w:r>
          <w:lastRenderedPageBreak/>
          <w:t>symbolic object-choice context requires an additional communicative inference: children must recognize that a cue was produced intentionally to guide their behavior and that its meaning derives from a specific relation to a target. Consequently, symbolic object-choice tasks represent a more demanding and ecologically valid testing ground, revealing whether young children can deploy their nascent analogical reasoning skills within a practical, goal-directed interaction.</w:t>
        </w:r>
      </w:ins>
    </w:p>
    <w:p w14:paraId="0A6A1287" w14:textId="77777777" w:rsidR="005D4CD1" w:rsidRDefault="00000000" w:rsidP="00671125">
      <w:pPr>
        <w:pStyle w:val="Textkrper"/>
        <w:jc w:val="both"/>
        <w:rPr>
          <w:ins w:id="186" w:author="Revision" w:date="2026-04-24T11:50:00Z" w16du:dateUtc="2026-04-24T09:50:00Z"/>
        </w:rPr>
      </w:pPr>
      <w:ins w:id="187" w:author="Revision" w:date="2026-04-24T11:50:00Z" w16du:dateUtc="2026-04-24T09:50:00Z">
        <w:r>
          <w:t>From this overview, several research desiderata emerge. The prevailing literature’s heavy reliance on similarity and iconicity in the context of graphic communication (Callaghan &amp; Corbit, 2015) leaves the broader scope of children’s symbolic flexibility largely unexplored. Because most studies employ depictions of real-world objects, results may be influenced by children’s familiarity with canonical features (Long, Moher, Carey, &amp; Konkle, 2019) or cultural graphic conventions. The present work provides a systematic investigation into the diverse conceptual dimensions along which graphic symbols can be imbued with meaning and traces development continuously through the pre-school years employing the symbolic object-choice task as one coherent and simple paradigm. By utilizing novel abstract graphic displays as cues and geometric shapes as targets, this study isolates children’s ability to identify conceptual features and apply pragmatic inferences in context, largely independent of prior knowledge of script, numerals, or conventional icons. Furthermore, by omitting training, instruction, or feedback, our approach ensures that responses reflect what children find naturally meaningful. Consequently, the studies below showcase young children’s capacity to spontaneously grasp novel symbol-referent pairings, providing critical insights into the learnability and potentially the emergence of communicative systems during a developmental period of increasing conventional symbolic mastery.</w:t>
        </w:r>
      </w:ins>
    </w:p>
    <w:p w14:paraId="225575E6" w14:textId="77777777" w:rsidR="005D4CD1" w:rsidRDefault="00000000">
      <w:pPr>
        <w:pStyle w:val="berschrift1"/>
      </w:pPr>
      <w:bookmarkStart w:id="188" w:name="general-methods"/>
      <w:bookmarkEnd w:id="10"/>
      <w:r>
        <w:lastRenderedPageBreak/>
        <w:t>General Methods</w:t>
      </w:r>
    </w:p>
    <w:p w14:paraId="4398BC84" w14:textId="52BC4836" w:rsidR="005D4CD1" w:rsidRDefault="00000000" w:rsidP="00671125">
      <w:pPr>
        <w:pStyle w:val="FirstParagraph"/>
        <w:jc w:val="both"/>
      </w:pPr>
      <w:r>
        <w:t>All studies presented below share methodological and analytic approaches. For the convenience of the reader, common features of the procedure, participant recruiting and stimulus design are reported first before discussing the three studies respectively. All studies were preregistered online prior to data collection (cf. </w:t>
      </w:r>
      <w:hyperlink r:id="rId7">
        <w:r>
          <w:rPr>
            <w:rStyle w:val="Hyperlink"/>
          </w:rPr>
          <w:t>Study 1</w:t>
        </w:r>
      </w:hyperlink>
      <w:r>
        <w:t xml:space="preserve">: </w:t>
      </w:r>
      <w:hyperlink r:id="rId8">
        <w:r>
          <w:rPr>
            <w:rStyle w:val="Hyperlink"/>
          </w:rPr>
          <w:t>https://aspredicted.org/SJT_H7F</w:t>
        </w:r>
      </w:hyperlink>
      <w:r>
        <w:t xml:space="preserve">, </w:t>
      </w:r>
      <w:hyperlink r:id="rId9">
        <w:r>
          <w:rPr>
            <w:rStyle w:val="Hyperlink"/>
          </w:rPr>
          <w:t>Study 2</w:t>
        </w:r>
      </w:hyperlink>
      <w:r>
        <w:t xml:space="preserve">: </w:t>
      </w:r>
      <w:hyperlink r:id="rId10">
        <w:r>
          <w:rPr>
            <w:rStyle w:val="Hyperlink"/>
          </w:rPr>
          <w:t>https://aspredicted.org/L2H_XC7</w:t>
        </w:r>
      </w:hyperlink>
      <w:r>
        <w:t xml:space="preserve">, and </w:t>
      </w:r>
      <w:hyperlink r:id="rId11">
        <w:r>
          <w:rPr>
            <w:rStyle w:val="Hyperlink"/>
          </w:rPr>
          <w:t>Study 3</w:t>
        </w:r>
      </w:hyperlink>
      <w:r>
        <w:t xml:space="preserve">: </w:t>
      </w:r>
      <w:hyperlink r:id="rId12">
        <w:r>
          <w:rPr>
            <w:rStyle w:val="Hyperlink"/>
          </w:rPr>
          <w:t>https://aspredicted.org/DR4_B4B</w:t>
        </w:r>
      </w:hyperlink>
      <w:r>
        <w:t xml:space="preserve">). All stimuli, experiments, data and analyses are available at: </w:t>
      </w:r>
      <w:r w:rsidR="004F5719">
        <w:t>[MASKED FOR REVIEW]</w:t>
      </w:r>
    </w:p>
    <w:p w14:paraId="5584E420" w14:textId="77777777" w:rsidR="005D4CD1" w:rsidRDefault="00000000" w:rsidP="00671125">
      <w:pPr>
        <w:pStyle w:val="berschrift2"/>
        <w:jc w:val="both"/>
      </w:pPr>
      <w:bookmarkStart w:id="189" w:name="data-collection-and-setup"/>
      <w:r>
        <w:t>Data Collection and Setup</w:t>
      </w:r>
    </w:p>
    <w:p w14:paraId="66308719" w14:textId="77777777" w:rsidR="005D4CD1" w:rsidRDefault="00000000" w:rsidP="00671125">
      <w:pPr>
        <w:pStyle w:val="FirstParagraph"/>
        <w:jc w:val="both"/>
      </w:pPr>
      <w:r>
        <w:t xml:space="preserve">In order to continuously trace the development of symbolic competences across the preschool years, for each study we aimed to test </w:t>
      </w:r>
      <w:ins w:id="190" w:author="Revision" w:date="2026-04-24T11:50:00Z" w16du:dateUtc="2026-04-24T09:50:00Z">
        <w:r>
          <w:t xml:space="preserve">a minimum of </w:t>
        </w:r>
      </w:ins>
      <w:r>
        <w:t>two children per month of age between the third and the seventh birthday for a total of 96 participants</w:t>
      </w:r>
      <w:del w:id="191" w:author="Revision" w:date="2026-04-24T11:50:00Z" w16du:dateUtc="2026-04-24T09:50:00Z">
        <w:r>
          <w:delText xml:space="preserve"> balancing male and female participants. As children participated on the basis of availability and data were collected by several experimenter teams in parallel, the final samples slightly exceed this preregistered minimum sample size.</w:delText>
        </w:r>
      </w:del>
      <w:ins w:id="192" w:author="Revision" w:date="2026-04-24T11:50:00Z" w16du:dateUtc="2026-04-24T09:50:00Z">
        <w:r>
          <w:t>.</w:t>
        </w:r>
      </w:ins>
      <w:r>
        <w:t xml:space="preserve"> The final sample approximates an equal distribution of male and female participants and aligns with conventions in the field in providing a minimum of 24 participants per study and year of age. </w:t>
      </w:r>
      <w:ins w:id="193" w:author="Revision" w:date="2026-04-24T11:50:00Z" w16du:dateUtc="2026-04-24T09:50:00Z">
        <w:r>
          <w:t xml:space="preserve">As children participated on the basis of availability and data were collected by several experimenter teams in parallel, the number of participants slightly exceed the preregistered minimum sample size. For an overview of the distribution of all children included in the analyses across the age-range see supplement figure 1. Figure 2 from the supplements shows the age-distribution of all children that participated but were not submitted to analyses due to the exclusion criteria outlined below. </w:t>
        </w:r>
      </w:ins>
      <w:r>
        <w:t xml:space="preserve">All participants were recruited in Leipzig, a medium-sized European city, and came from a predominantly white population of middle to high income </w:t>
      </w:r>
      <w:r>
        <w:lastRenderedPageBreak/>
        <w:t>families. Children were largely tested in day- and after school-care, and occasionally in the lab or at home. Data collection took place from June 2022 to February 2023.</w:t>
      </w:r>
    </w:p>
    <w:p w14:paraId="6EBBC45D" w14:textId="77777777" w:rsidR="005D4CD1" w:rsidRDefault="00000000" w:rsidP="00671125">
      <w:pPr>
        <w:pStyle w:val="berschrift2"/>
        <w:jc w:val="both"/>
      </w:pPr>
      <w:bookmarkStart w:id="194" w:name="setup-and-procedure"/>
      <w:bookmarkEnd w:id="189"/>
      <w:r>
        <w:t>Setup and Procedure</w:t>
      </w:r>
    </w:p>
    <w:p w14:paraId="34690E69" w14:textId="77777777" w:rsidR="005D4CD1" w:rsidRDefault="00000000" w:rsidP="00671125">
      <w:pPr>
        <w:pStyle w:val="FirstParagraph"/>
        <w:jc w:val="both"/>
      </w:pPr>
      <w:r>
        <w:t>During test sessions, a child and an experimenter sat down together to play a picture-book-style hiding game presented on a touch-screen laptop. Verbal instructions were played back by the experimental script. Experimenters supervised children and occasionally reacted with a fixed set of verbal prompts when children were not following the presentation (“Oh look, the game continues!”). See figure 1 A for an illustration of the setup.</w:t>
      </w:r>
    </w:p>
    <w:p w14:paraId="29FF3321" w14:textId="77777777" w:rsidR="004418C3" w:rsidRDefault="004418C3" w:rsidP="004418C3">
      <w:pPr>
        <w:pStyle w:val="Textkrper"/>
        <w:jc w:val="both"/>
      </w:pPr>
      <w:del w:id="195" w:author="Revision" w:date="2026-04-24T11:50:00Z" w16du:dateUtc="2026-04-24T09:50:00Z">
        <w:r>
          <w:rPr>
            <w:i/>
            <w:iCs/>
          </w:rPr>
          <w:delText>Familiarisation.</w:delText>
        </w:r>
      </w:del>
      <w:ins w:id="196" w:author="Revision" w:date="2026-04-24T11:50:00Z" w16du:dateUtc="2026-04-24T09:50:00Z">
        <w:r>
          <w:rPr>
            <w:i/>
            <w:iCs/>
          </w:rPr>
          <w:t>Familiarization.</w:t>
        </w:r>
      </w:ins>
      <w:r>
        <w:t xml:space="preserve"> First, the experimental script introduced a cartoon monkey. This character placed two cups on the bottom left and right side of the screen. After holding up a banana, one of the barriers was lifted, the banana was placed underneath one of the cups and the barrier was lowered. Children were now prompted to touch the hiding place and in doing so the barrier of their choice was lifted to reveal the banana if they chose correctly. The experimental script provided feedback upon children’s choice (“yes, great job!”; “No, that’s not it. Let’s try again!”) during the familiarization (cf. figure 1 D). To ensure that children were familiar with the goal of the game and the touch interface, they first had to complete a set of four to eight familiarization trials with a success rate of 75%. In case a child did not reply correctly in three out of four trials, another four familiarization trials were provided. If the child was correct in six out of eight trials, she was included in the main sample. Children that did not succeed were allowed to participate but their data was not submitted to analysis.</w:t>
      </w:r>
    </w:p>
    <w:p w14:paraId="2CE00A7D" w14:textId="77777777" w:rsidR="004418C3" w:rsidRPr="004418C3" w:rsidRDefault="004418C3" w:rsidP="004418C3">
      <w:pPr>
        <w:pStyle w:val="Textkrper"/>
      </w:pPr>
    </w:p>
    <w:p w14:paraId="3D5A97E7" w14:textId="77777777" w:rsidR="005D4CD1" w:rsidRDefault="00000000" w:rsidP="00671125">
      <w:pPr>
        <w:pStyle w:val="CaptionedFigure"/>
        <w:framePr w:wrap="notBeside"/>
        <w:jc w:val="both"/>
      </w:pPr>
      <w:r>
        <w:rPr>
          <w:noProof/>
        </w:rPr>
        <w:lastRenderedPageBreak/>
        <w:drawing>
          <wp:inline distT="0" distB="0" distL="0" distR="0" wp14:anchorId="2FCBC8A4" wp14:editId="37DCFB6B">
            <wp:extent cx="5670550" cy="3752457"/>
            <wp:effectExtent l="0" t="0" r="0" b="0"/>
            <wp:docPr id="28" name="Picture"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
            <wp:cNvGraphicFramePr/>
            <a:graphic xmlns:a="http://schemas.openxmlformats.org/drawingml/2006/main">
              <a:graphicData uri="http://schemas.openxmlformats.org/drawingml/2006/picture">
                <pic:pic xmlns:pic="http://schemas.openxmlformats.org/drawingml/2006/picture">
                  <pic:nvPicPr>
                    <pic:cNvPr id="29" name="Picture" descr="../illustrations/setup%20complete.png"/>
                    <pic:cNvPicPr>
                      <a:picLocks noChangeAspect="1" noChangeArrowheads="1"/>
                    </pic:cNvPicPr>
                  </pic:nvPicPr>
                  <pic:blipFill>
                    <a:blip r:embed="rId13"/>
                    <a:stretch>
                      <a:fillRect/>
                    </a:stretch>
                  </pic:blipFill>
                  <pic:spPr bwMode="auto">
                    <a:xfrm>
                      <a:off x="0" y="0"/>
                      <a:ext cx="5670550" cy="3752457"/>
                    </a:xfrm>
                    <a:prstGeom prst="rect">
                      <a:avLst/>
                    </a:prstGeom>
                    <a:noFill/>
                    <a:ln w="9525">
                      <a:noFill/>
                      <a:headEnd/>
                      <a:tailEnd/>
                    </a:ln>
                  </pic:spPr>
                </pic:pic>
              </a:graphicData>
            </a:graphic>
          </wp:inline>
        </w:drawing>
      </w:r>
    </w:p>
    <w:p w14:paraId="578256E0" w14:textId="77777777" w:rsidR="005D4CD1" w:rsidRDefault="00000000" w:rsidP="00671125">
      <w:pPr>
        <w:pStyle w:val="ImageCaption"/>
        <w:jc w:val="both"/>
      </w:pPr>
      <w:bookmarkStart w:id="197" w:name="fig:plot-figure-setup"/>
      <w:bookmarkEnd w:id="197"/>
      <w:r>
        <w:rPr>
          <w:i/>
          <w:iCs/>
        </w:rPr>
        <w:t>Figure</w:t>
      </w:r>
      <w:r>
        <w:t xml:space="preserve"> 1. </w:t>
      </w:r>
      <w:r>
        <w:rPr>
          <w:i/>
          <w:iCs/>
        </w:rPr>
        <w:t>Setup, Stimuli and Trial Structure.</w:t>
      </w:r>
      <w:r>
        <w:t xml:space="preserve"> Panel A shows the setup during testing. Experimenters were sitting behind the children in order to not distract them while supervising data collection. Panel B shows all elements contributing to an item of a possible test trial consisting of two </w:t>
      </w:r>
      <w:del w:id="198" w:author="Revision" w:date="2026-04-24T11:50:00Z" w16du:dateUtc="2026-04-24T09:50:00Z">
        <w:r>
          <w:delText>target</w:delText>
        </w:r>
      </w:del>
      <w:ins w:id="199" w:author="Revision" w:date="2026-04-24T11:50:00Z" w16du:dateUtc="2026-04-24T09:50:00Z">
        <w:r>
          <w:t>choice options</w:t>
        </w:r>
      </w:ins>
      <w:r>
        <w:t xml:space="preserve"> and one of two possible cues. Panel C exemplifies how two </w:t>
      </w:r>
      <w:del w:id="200" w:author="Revision" w:date="2026-04-24T11:50:00Z" w16du:dateUtc="2026-04-24T09:50:00Z">
        <w:r>
          <w:delText>targets</w:delText>
        </w:r>
      </w:del>
      <w:ins w:id="201" w:author="Revision" w:date="2026-04-24T11:50:00Z" w16du:dateUtc="2026-04-24T09:50:00Z">
        <w:r>
          <w:t>choice options</w:t>
        </w:r>
      </w:ins>
      <w:r>
        <w:t xml:space="preserve"> and one of the cues </w:t>
      </w:r>
      <w:del w:id="202" w:author="Revision" w:date="2026-04-24T11:50:00Z" w16du:dateUtc="2026-04-24T09:50:00Z">
        <w:r>
          <w:delText>can be</w:delText>
        </w:r>
      </w:del>
      <w:ins w:id="203" w:author="Revision" w:date="2026-04-24T11:50:00Z" w16du:dateUtc="2026-04-24T09:50:00Z">
        <w:r>
          <w:t>were</w:t>
        </w:r>
      </w:ins>
      <w:r>
        <w:t xml:space="preserve"> arranged </w:t>
      </w:r>
      <w:del w:id="204" w:author="Revision" w:date="2026-04-24T11:50:00Z" w16du:dateUtc="2026-04-24T09:50:00Z">
        <w:r>
          <w:delText>in</w:delText>
        </w:r>
      </w:del>
      <w:ins w:id="205" w:author="Revision" w:date="2026-04-24T11:50:00Z" w16du:dateUtc="2026-04-24T09:50:00Z">
        <w:r>
          <w:t>for</w:t>
        </w:r>
      </w:ins>
      <w:r>
        <w:t xml:space="preserve"> a specific test trial. Panel D shows a familiarization trial and Panel E shows a test trial.</w:t>
      </w:r>
    </w:p>
    <w:p w14:paraId="7C1F812D" w14:textId="77777777" w:rsidR="005D4CD1" w:rsidRDefault="00000000" w:rsidP="00671125">
      <w:pPr>
        <w:pStyle w:val="Textkrper"/>
        <w:jc w:val="both"/>
      </w:pPr>
      <w:r>
        <w:rPr>
          <w:i/>
          <w:iCs/>
        </w:rPr>
        <w:t>Test.</w:t>
      </w:r>
      <w:r>
        <w:t xml:space="preserve"> The main phase of the study commenced with announcing that the cartoon character had an idea for a new game. Now, children were not allowed to see where the banana would be hidden, but that the monkey would help them find it. The cartoon character was established as a knowledgeable and benevolent partner in a cooperative coordination game</w:t>
      </w:r>
      <w:del w:id="206" w:author="Revision" w:date="2026-04-24T11:50:00Z" w16du:dateUtc="2026-04-24T09:50:00Z">
        <w:r>
          <w:delText>.</w:delText>
        </w:r>
      </w:del>
      <w:ins w:id="207" w:author="Revision" w:date="2026-04-24T11:50:00Z" w16du:dateUtc="2026-04-24T09:50:00Z">
        <w:r>
          <w:t xml:space="preserve"> (“Coco is going to help you find the banana. Coco is drawing something for you.”).</w:t>
        </w:r>
      </w:ins>
      <w:r>
        <w:t xml:space="preserve"> After the hiding phase, the </w:t>
      </w:r>
      <w:r>
        <w:lastRenderedPageBreak/>
        <w:t xml:space="preserve">monkey held up a piece of paper and a pencil. Pencil movement and a short scribble sound indicated that the monkey was drawing. Finally, participants were prompted with the phrase “Where is the banana?” and the monkey’s drawing was placed in the center between the two </w:t>
      </w:r>
      <w:del w:id="208" w:author="Revision" w:date="2026-04-24T11:50:00Z" w16du:dateUtc="2026-04-24T09:50:00Z">
        <w:r>
          <w:delText>barriers.</w:delText>
        </w:r>
      </w:del>
      <w:ins w:id="209" w:author="Revision" w:date="2026-04-24T11:50:00Z" w16du:dateUtc="2026-04-24T09:50:00Z">
        <w:r>
          <w:t>hiding places.</w:t>
        </w:r>
      </w:ins>
      <w:r>
        <w:t xml:space="preserve"> The drawing served as a cue to guide children’s choice. Children’s choice was acknowledged with neutral feedback (“Ah, thank you”) leading to the next trial (cf. figure 1 E).</w:t>
      </w:r>
    </w:p>
    <w:p w14:paraId="5FABA48A" w14:textId="77777777" w:rsidR="005D4CD1" w:rsidRDefault="00000000" w:rsidP="00671125">
      <w:pPr>
        <w:pStyle w:val="Textkrper"/>
        <w:jc w:val="both"/>
      </w:pPr>
      <w:r>
        <w:t>A single trial lasted roughly 20 to 60 seconds, depending on how swiftly children chose. Each study presented four different experimental conditions with four trials each in a blocked order for a maximum of 16 test trials. Unique</w:t>
      </w:r>
      <w:ins w:id="210" w:author="Revision" w:date="2026-04-24T11:50:00Z" w16du:dateUtc="2026-04-24T09:50:00Z">
        <w:r>
          <w:t xml:space="preserve"> combinations of</w:t>
        </w:r>
      </w:ins>
      <w:r>
        <w:t xml:space="preserve"> graphic displays were used on every trial. Test sessions lasted about 12 minutes in total. The order of conditions was counterbalanced across participants. Children occasionally wished to stop before completing all trials, resulting in minor deviations of the total number of trials per condition that were submitted to analysis. For an overview of the average number of trials participants received in each condition, see supplementary materials. In line with the preregistration, children had to complete a minimum of eight test trials to be included in analysis.</w:t>
      </w:r>
    </w:p>
    <w:p w14:paraId="56D43273" w14:textId="77777777" w:rsidR="005D4CD1" w:rsidRDefault="00000000" w:rsidP="00671125">
      <w:pPr>
        <w:pStyle w:val="berschrift2"/>
        <w:jc w:val="both"/>
      </w:pPr>
      <w:bookmarkStart w:id="211" w:name="stimuli-and-counterbalancing"/>
      <w:bookmarkEnd w:id="194"/>
      <w:r>
        <w:t>Stimuli and Counterbalancing</w:t>
      </w:r>
    </w:p>
    <w:p w14:paraId="25A04A55" w14:textId="77777777" w:rsidR="005D4CD1" w:rsidRDefault="00000000" w:rsidP="00671125">
      <w:pPr>
        <w:pStyle w:val="FirstParagraph"/>
        <w:jc w:val="both"/>
      </w:pPr>
      <w:del w:id="212" w:author="Revision" w:date="2026-04-24T11:50:00Z" w16du:dateUtc="2026-04-24T09:50:00Z">
        <w:r>
          <w:delText xml:space="preserve">The set of studies presented here regard communication as a means for solving coordination problems. In the simplest small-world scenario an utterance or symbol, such as a graphic display, provided by a helpful interlocutor should enable an addressee to shift attention to, or help decide for one out of two options that are relevant in a particular practical context and even in the absence of conventions (Wittgenstein, 2009). </w:delText>
        </w:r>
      </w:del>
      <w:r>
        <w:t xml:space="preserve">The context in the studies presented below is provided by a game of hide and seek and the options are two hiding places that are distinct by means of the graphic displays they are marked with. The aim was to test at what age </w:t>
      </w:r>
      <w:r>
        <w:lastRenderedPageBreak/>
        <w:t xml:space="preserve">children become able to spontaneously </w:t>
      </w:r>
      <w:del w:id="213" w:author="Revision" w:date="2026-04-24T11:50:00Z" w16du:dateUtc="2026-04-24T09:50:00Z">
        <w:r>
          <w:delText>use graphic displays employing</w:delText>
        </w:r>
      </w:del>
      <w:ins w:id="214" w:author="Revision" w:date="2026-04-24T11:50:00Z" w16du:dateUtc="2026-04-24T09:50:00Z">
        <w:r>
          <w:t>match cue and target along</w:t>
        </w:r>
      </w:ins>
      <w:r>
        <w:t xml:space="preserve"> various dimensions of symbol-referent relationships. For this, the graphic displays presented as </w:t>
      </w:r>
      <w:del w:id="215" w:author="Revision" w:date="2026-04-24T11:50:00Z" w16du:dateUtc="2026-04-24T09:50:00Z">
        <w:r>
          <w:delText>referents</w:delText>
        </w:r>
      </w:del>
      <w:ins w:id="216" w:author="Revision" w:date="2026-04-24T11:50:00Z" w16du:dateUtc="2026-04-24T09:50:00Z">
        <w:r>
          <w:t>choice options</w:t>
        </w:r>
      </w:ins>
      <w:r>
        <w:t xml:space="preserve"> were designed to saliently differ in one relevant dimension and to be as similar as possible with regard to other </w:t>
      </w:r>
      <w:del w:id="217" w:author="Revision" w:date="2026-04-24T11:50:00Z" w16du:dateUtc="2026-04-24T09:50:00Z">
        <w:r>
          <w:delText xml:space="preserve">surface </w:delText>
        </w:r>
      </w:del>
      <w:r>
        <w:t xml:space="preserve">features. The </w:t>
      </w:r>
      <w:del w:id="218" w:author="Revision" w:date="2026-04-24T11:50:00Z" w16du:dateUtc="2026-04-24T09:50:00Z">
        <w:r>
          <w:delText>referent</w:delText>
        </w:r>
      </w:del>
      <w:ins w:id="219" w:author="Revision" w:date="2026-04-24T11:50:00Z" w16du:dateUtc="2026-04-24T09:50:00Z">
        <w:r>
          <w:t>cue</w:t>
        </w:r>
      </w:ins>
      <w:r>
        <w:t xml:space="preserve">, on the other hand, was a reduced and less straight-lined graphic display akin to a hand drawing that had something in common with one of the </w:t>
      </w:r>
      <w:del w:id="220" w:author="Revision" w:date="2026-04-24T11:50:00Z" w16du:dateUtc="2026-04-24T09:50:00Z">
        <w:r>
          <w:delText>referents</w:delText>
        </w:r>
      </w:del>
      <w:ins w:id="221" w:author="Revision" w:date="2026-04-24T11:50:00Z" w16du:dateUtc="2026-04-24T09:50:00Z">
        <w:r>
          <w:t>choice options</w:t>
        </w:r>
      </w:ins>
      <w:r>
        <w:t xml:space="preserve"> and </w:t>
      </w:r>
      <w:del w:id="222" w:author="Revision" w:date="2026-04-24T11:50:00Z" w16du:dateUtc="2026-04-24T09:50:00Z">
        <w:r>
          <w:delText>is</w:delText>
        </w:r>
      </w:del>
      <w:ins w:id="223" w:author="Revision" w:date="2026-04-24T11:50:00Z" w16du:dateUtc="2026-04-24T09:50:00Z">
        <w:r>
          <w:t>was</w:t>
        </w:r>
      </w:ins>
      <w:r>
        <w:t xml:space="preserve"> thereby referring to it</w:t>
      </w:r>
      <w:del w:id="224" w:author="Revision" w:date="2026-04-24T11:50:00Z" w16du:dateUtc="2026-04-24T09:50:00Z">
        <w:r>
          <w:delText xml:space="preserve"> while it remains distinct with regard to other surface features.</w:delText>
        </w:r>
      </w:del>
      <w:ins w:id="225" w:author="Revision" w:date="2026-04-24T11:50:00Z" w16du:dateUtc="2026-04-24T09:50:00Z">
        <w:r>
          <w:t>.</w:t>
        </w:r>
      </w:ins>
      <w:r>
        <w:t xml:space="preserve"> In test trials, one of the </w:t>
      </w:r>
      <w:del w:id="226" w:author="Revision" w:date="2026-04-24T11:50:00Z" w16du:dateUtc="2026-04-24T09:50:00Z">
        <w:r>
          <w:delText>possible referents</w:delText>
        </w:r>
      </w:del>
      <w:ins w:id="227" w:author="Revision" w:date="2026-04-24T11:50:00Z" w16du:dateUtc="2026-04-24T09:50:00Z">
        <w:r>
          <w:t>choice options</w:t>
        </w:r>
      </w:ins>
      <w:r>
        <w:t xml:space="preserve"> serves as a target and the other as a distractor. For counterbalancing, a second </w:t>
      </w:r>
      <w:del w:id="228" w:author="Revision" w:date="2026-04-24T11:50:00Z" w16du:dateUtc="2026-04-24T09:50:00Z">
        <w:r>
          <w:delText>referent</w:delText>
        </w:r>
      </w:del>
      <w:ins w:id="229" w:author="Revision" w:date="2026-04-24T11:50:00Z" w16du:dateUtc="2026-04-24T09:50:00Z">
        <w:r>
          <w:t>cue</w:t>
        </w:r>
      </w:ins>
      <w:r>
        <w:t xml:space="preserve"> was designed to refer to the other </w:t>
      </w:r>
      <w:del w:id="230" w:author="Revision" w:date="2026-04-24T11:50:00Z" w16du:dateUtc="2026-04-24T09:50:00Z">
        <w:r>
          <w:delText>target</w:delText>
        </w:r>
      </w:del>
      <w:ins w:id="231" w:author="Revision" w:date="2026-04-24T11:50:00Z" w16du:dateUtc="2026-04-24T09:50:00Z">
        <w:r>
          <w:t>choice option</w:t>
        </w:r>
      </w:ins>
      <w:r>
        <w:t xml:space="preserve">, such that across participants the same </w:t>
      </w:r>
      <w:del w:id="232" w:author="Revision" w:date="2026-04-24T11:50:00Z" w16du:dateUtc="2026-04-24T09:50:00Z">
        <w:r>
          <w:delText>referents</w:delText>
        </w:r>
      </w:del>
      <w:ins w:id="233" w:author="Revision" w:date="2026-04-24T11:50:00Z" w16du:dateUtc="2026-04-24T09:50:00Z">
        <w:r>
          <w:t>choice options</w:t>
        </w:r>
      </w:ins>
      <w:r>
        <w:t xml:space="preserve"> serve equally often as targets and distractors. For an illustration of trial composition, see figure 1 B and C. For each of the conditions in the three studies below, four sets of stimuli were designed, consisting of two blue shapes serving as target or distractor, and two drawings that could serve as cues. Each condition covers a particular type of symbol-referent relationship via four stimulus versions with two variations each. For an example, consider figure 2. The first box in Panel B shows all stimuli for the </w:t>
      </w:r>
      <w:r>
        <w:rPr>
          <w:i/>
          <w:iCs/>
        </w:rPr>
        <w:t>Representation</w:t>
      </w:r>
      <w:r>
        <w:t xml:space="preserve"> condition. The first column exemplifies a set of targets (a blue square and circle) and </w:t>
      </w:r>
      <w:del w:id="234" w:author="Revision" w:date="2026-04-24T11:50:00Z" w16du:dateUtc="2026-04-24T09:50:00Z">
        <w:r>
          <w:delText>referents</w:delText>
        </w:r>
      </w:del>
      <w:ins w:id="235" w:author="Revision" w:date="2026-04-24T11:50:00Z" w16du:dateUtc="2026-04-24T09:50:00Z">
        <w:r>
          <w:t>cues</w:t>
        </w:r>
      </w:ins>
      <w:r>
        <w:t xml:space="preserve"> (outline drawings of a square and circle). During test, participants are presented with four test trials per condition, each composed of the shapes of a single column. </w:t>
      </w:r>
      <w:del w:id="236" w:author="Revision" w:date="2026-04-24T11:50:00Z" w16du:dateUtc="2026-04-24T09:50:00Z">
        <w:r>
          <w:delText xml:space="preserve">During testing, </w:delText>
        </w:r>
      </w:del>
      <w:r>
        <w:t xml:space="preserve">A child sees each trial combination only once and with only one of the two possible cues. Across children, the position (left/right) of the </w:t>
      </w:r>
      <w:del w:id="237" w:author="Revision" w:date="2026-04-24T11:50:00Z" w16du:dateUtc="2026-04-24T09:50:00Z">
        <w:r>
          <w:delText>referent</w:delText>
        </w:r>
      </w:del>
      <w:ins w:id="238" w:author="Revision" w:date="2026-04-24T11:50:00Z" w16du:dateUtc="2026-04-24T09:50:00Z">
        <w:r>
          <w:t>target</w:t>
        </w:r>
      </w:ins>
      <w:r>
        <w:t>, and the identity of the cue are counterbalanced</w:t>
      </w:r>
      <w:ins w:id="239" w:author="Revision" w:date="2026-04-24T11:50:00Z" w16du:dateUtc="2026-04-24T09:50:00Z">
        <w:r>
          <w:t>. For the convenience of the reader, all stimuli employed across studies are presented with the results for each condition in figures 2, 3, and 4 respectively</w:t>
        </w:r>
      </w:ins>
      <w:r>
        <w:t>.</w:t>
      </w:r>
    </w:p>
    <w:p w14:paraId="11506F94" w14:textId="77777777" w:rsidR="005D4CD1" w:rsidRDefault="00000000" w:rsidP="00671125">
      <w:pPr>
        <w:pStyle w:val="berschrift2"/>
        <w:jc w:val="both"/>
      </w:pPr>
      <w:bookmarkStart w:id="240" w:name="data-handling-and-analyses"/>
      <w:bookmarkEnd w:id="211"/>
      <w:r>
        <w:lastRenderedPageBreak/>
        <w:t>Data Handling and Analyses</w:t>
      </w:r>
    </w:p>
    <w:p w14:paraId="55D54C4B" w14:textId="77777777" w:rsidR="005D4CD1" w:rsidRDefault="00000000" w:rsidP="00671125">
      <w:pPr>
        <w:pStyle w:val="FirstParagraph"/>
        <w:jc w:val="both"/>
        <w:rPr>
          <w:ins w:id="241" w:author="Revision" w:date="2026-04-24T11:50:00Z" w16du:dateUtc="2026-04-24T09:50:00Z"/>
        </w:rPr>
      </w:pPr>
      <w:ins w:id="242" w:author="Revision" w:date="2026-04-24T11:50:00Z" w16du:dateUtc="2026-04-24T09:50:00Z">
        <w:r>
          <w:t xml:space="preserve">Upon touching the screen, </w:t>
        </w:r>
      </w:ins>
      <w:r>
        <w:t xml:space="preserve">children’s choices were logged </w:t>
      </w:r>
      <w:del w:id="243" w:author="Revision" w:date="2026-04-24T11:50:00Z" w16du:dateUtc="2026-04-24T09:50:00Z">
        <w:r>
          <w:delText>by the experimental script</w:delText>
        </w:r>
      </w:del>
      <w:ins w:id="244" w:author="Revision" w:date="2026-04-24T11:50:00Z" w16du:dateUtc="2026-04-24T09:50:00Z">
        <w:r>
          <w:t>and immediately coded</w:t>
        </w:r>
      </w:ins>
      <w:r>
        <w:t xml:space="preserve"> as correct or incorrect</w:t>
      </w:r>
      <w:del w:id="245" w:author="Revision" w:date="2026-04-24T11:50:00Z" w16du:dateUtc="2026-04-24T09:50:00Z">
        <w:r>
          <w:delText>. The analyses modeled</w:delText>
        </w:r>
      </w:del>
      <w:ins w:id="246" w:author="Revision" w:date="2026-04-24T11:50:00Z" w16du:dateUtc="2026-04-24T09:50:00Z">
        <w:r>
          <w:t xml:space="preserve"> by the code running the stimulus presentation. To evaluate how</w:t>
        </w:r>
      </w:ins>
      <w:r>
        <w:t xml:space="preserve"> children’s </w:t>
      </w:r>
      <w:del w:id="247" w:author="Revision" w:date="2026-04-24T11:50:00Z" w16du:dateUtc="2026-04-24T09:50:00Z">
        <w:r>
          <w:delText>binary choices</w:delText>
        </w:r>
      </w:del>
      <w:ins w:id="248" w:author="Revision" w:date="2026-04-24T11:50:00Z" w16du:dateUtc="2026-04-24T09:50:00Z">
        <w:r>
          <w:t>ability</w:t>
        </w:r>
      </w:ins>
      <w:r>
        <w:t xml:space="preserve"> to </w:t>
      </w:r>
      <w:del w:id="249" w:author="Revision" w:date="2026-04-24T11:50:00Z" w16du:dateUtc="2026-04-24T09:50:00Z">
        <w:r>
          <w:delText>estimate the probability of interpreting</w:delText>
        </w:r>
      </w:del>
      <w:ins w:id="250" w:author="Revision" w:date="2026-04-24T11:50:00Z" w16du:dateUtc="2026-04-24T09:50:00Z">
        <w:r>
          <w:t>interpret</w:t>
        </w:r>
      </w:ins>
      <w:r>
        <w:t xml:space="preserve"> cues </w:t>
      </w:r>
      <w:del w:id="251" w:author="Revision" w:date="2026-04-24T11:50:00Z" w16du:dateUtc="2026-04-24T09:50:00Z">
        <w:r>
          <w:delText xml:space="preserve">correctly and evalutate how this varied as a function of </w:delText>
        </w:r>
      </w:del>
      <w:ins w:id="252" w:author="Revision" w:date="2026-04-24T11:50:00Z" w16du:dateUtc="2026-04-24T09:50:00Z">
        <w:r>
          <w:t xml:space="preserve">varies by </w:t>
        </w:r>
      </w:ins>
      <w:r>
        <w:t>age and condition</w:t>
      </w:r>
      <w:del w:id="253" w:author="Revision" w:date="2026-04-24T11:50:00Z" w16du:dateUtc="2026-04-24T09:50:00Z">
        <w:r>
          <w:delText>. We fitted</w:delText>
        </w:r>
      </w:del>
      <w:ins w:id="254" w:author="Revision" w:date="2026-04-24T11:50:00Z" w16du:dateUtc="2026-04-24T09:50:00Z">
        <w:r>
          <w:t>, we employed</w:t>
        </w:r>
      </w:ins>
      <w:r>
        <w:t xml:space="preserve"> Bayesian Logistic Generalized Linear Mixed Models (GLMMs</w:t>
      </w:r>
      <w:del w:id="255" w:author="Revision" w:date="2026-04-24T11:50:00Z" w16du:dateUtc="2026-04-24T09:50:00Z">
        <w:r>
          <w:delText>) with</w:delText>
        </w:r>
      </w:del>
      <w:ins w:id="256" w:author="Revision" w:date="2026-04-24T11:50:00Z" w16du:dateUtc="2026-04-24T09:50:00Z">
        <w:r>
          <w:t>). This mode of analysis is appropriate as it allows to estimate the probability of success while accounting for uncertainty and individual differences, and because it allows mapping linear predictors to a probability between 0 and 1 via a link function. Our analyses modeled children’s binary choices (correct vs. incorrect) using</w:t>
        </w:r>
      </w:ins>
      <w:r>
        <w:t xml:space="preserve"> fixed effects for condition</w:t>
      </w:r>
      <w:del w:id="257" w:author="Revision" w:date="2026-04-24T11:50:00Z" w16du:dateUtc="2026-04-24T09:50:00Z">
        <w:r>
          <w:delText>, standardized</w:delText>
        </w:r>
      </w:del>
      <w:ins w:id="258" w:author="Revision" w:date="2026-04-24T11:50:00Z" w16du:dateUtc="2026-04-24T09:50:00Z">
        <w:r>
          <w:t xml:space="preserve"> and</w:t>
        </w:r>
      </w:ins>
      <w:r>
        <w:t xml:space="preserve"> age, </w:t>
      </w:r>
      <w:ins w:id="259" w:author="Revision" w:date="2026-04-24T11:50:00Z" w16du:dateUtc="2026-04-24T09:50:00Z">
        <w:r>
          <w:t xml:space="preserve">as well as </w:t>
        </w:r>
      </w:ins>
      <w:r>
        <w:t>their interaction</w:t>
      </w:r>
      <w:del w:id="260" w:author="Revision" w:date="2026-04-24T11:50:00Z" w16du:dateUtc="2026-04-24T09:50:00Z">
        <w:r>
          <w:delText xml:space="preserve">, as well as </w:delText>
        </w:r>
      </w:del>
      <w:ins w:id="261" w:author="Revision" w:date="2026-04-24T11:50:00Z" w16du:dateUtc="2026-04-24T09:50:00Z">
        <w:r>
          <w:t xml:space="preserve"> as primary predictors. In addition, we included a fixed effect of </w:t>
        </w:r>
      </w:ins>
      <w:r>
        <w:t xml:space="preserve">trial number, </w:t>
      </w:r>
      <w:del w:id="262" w:author="Revision" w:date="2026-04-24T11:50:00Z" w16du:dateUtc="2026-04-24T09:50:00Z">
        <w:r>
          <w:delText xml:space="preserve">and </w:delText>
        </w:r>
      </w:del>
      <w:ins w:id="263" w:author="Revision" w:date="2026-04-24T11:50:00Z" w16du:dateUtc="2026-04-24T09:50:00Z">
        <w:r>
          <w:t xml:space="preserve">to control for learning or fatigue, and a fixed effect of </w:t>
        </w:r>
      </w:ins>
      <w:r>
        <w:t xml:space="preserve">sex. To account for </w:t>
      </w:r>
      <w:del w:id="264" w:author="Revision" w:date="2026-04-24T11:50:00Z" w16du:dateUtc="2026-04-24T09:50:00Z">
        <w:r>
          <w:delText>subject-level variability</w:delText>
        </w:r>
      </w:del>
      <w:ins w:id="265" w:author="Revision" w:date="2026-04-24T11:50:00Z" w16du:dateUtc="2026-04-24T09:50:00Z">
        <w:r>
          <w:t>the possibility that some children may be better at the task than others</w:t>
        </w:r>
      </w:ins>
      <w:r>
        <w:t xml:space="preserve">, we included random intercepts </w:t>
      </w:r>
      <w:del w:id="266" w:author="Revision" w:date="2026-04-24T11:50:00Z" w16du:dateUtc="2026-04-24T09:50:00Z">
        <w:r>
          <w:delText xml:space="preserve">and </w:delText>
        </w:r>
      </w:del>
      <w:ins w:id="267" w:author="Revision" w:date="2026-04-24T11:50:00Z" w16du:dateUtc="2026-04-24T09:50:00Z">
        <w:r>
          <w:t xml:space="preserve">for each participant. We also included </w:t>
        </w:r>
      </w:ins>
      <w:r>
        <w:t>random slopes for trial number</w:t>
      </w:r>
      <w:del w:id="268" w:author="Revision" w:date="2026-04-24T11:50:00Z" w16du:dateUtc="2026-04-24T09:50:00Z">
        <w:r>
          <w:delText xml:space="preserve"> by participant. </w:delText>
        </w:r>
      </w:del>
      <w:ins w:id="269" w:author="Revision" w:date="2026-04-24T11:50:00Z" w16du:dateUtc="2026-04-24T09:50:00Z">
        <w:r>
          <w:t xml:space="preserve">, allowing potential effects of learning or fatigue to vary from child to child. To facilitate processing and interpretability, </w:t>
        </w:r>
      </w:ins>
      <w:r>
        <w:t>age and trial number were standardized</w:t>
      </w:r>
      <w:ins w:id="270" w:author="Revision" w:date="2026-04-24T11:50:00Z" w16du:dateUtc="2026-04-24T09:50:00Z">
        <w:r>
          <w:t xml:space="preserve"> to a natural mean of 0</w:t>
        </w:r>
      </w:ins>
      <w:r>
        <w:t xml:space="preserve"> prior to modeling. The full model notation was </w:t>
      </w:r>
      <w:r>
        <w:rPr>
          <w:rStyle w:val="VerbatimChar"/>
        </w:rPr>
        <w:t>correct ~ condition*</w:t>
      </w:r>
      <w:proofErr w:type="spellStart"/>
      <w:r>
        <w:rPr>
          <w:rStyle w:val="VerbatimChar"/>
        </w:rPr>
        <w:t>z.age</w:t>
      </w:r>
      <w:proofErr w:type="spellEnd"/>
      <w:r>
        <w:rPr>
          <w:rStyle w:val="VerbatimChar"/>
        </w:rPr>
        <w:t xml:space="preserve"> + </w:t>
      </w:r>
      <w:proofErr w:type="spellStart"/>
      <w:r>
        <w:rPr>
          <w:rStyle w:val="VerbatimChar"/>
        </w:rPr>
        <w:t>z.trial</w:t>
      </w:r>
      <w:proofErr w:type="spellEnd"/>
      <w:r>
        <w:rPr>
          <w:rStyle w:val="VerbatimChar"/>
        </w:rPr>
        <w:t xml:space="preserve"> + sex + (</w:t>
      </w:r>
      <w:proofErr w:type="spellStart"/>
      <w:r>
        <w:rPr>
          <w:rStyle w:val="VerbatimChar"/>
        </w:rPr>
        <w:t>z.trial</w:t>
      </w:r>
      <w:proofErr w:type="spellEnd"/>
      <w:r>
        <w:rPr>
          <w:rStyle w:val="VerbatimChar"/>
        </w:rPr>
        <w:t xml:space="preserve"> | </w:t>
      </w:r>
      <w:proofErr w:type="spellStart"/>
      <w:r>
        <w:rPr>
          <w:rStyle w:val="VerbatimChar"/>
        </w:rPr>
        <w:t>subid</w:t>
      </w:r>
      <w:proofErr w:type="spellEnd"/>
      <w:r>
        <w:rPr>
          <w:rStyle w:val="VerbatimChar"/>
        </w:rPr>
        <w:t>)</w:t>
      </w:r>
      <w:r>
        <w:t xml:space="preserve">. </w:t>
      </w:r>
      <w:del w:id="271" w:author="Revision" w:date="2026-04-24T11:50:00Z" w16du:dateUtc="2026-04-24T09:50:00Z">
        <w:r>
          <w:delText>To evaluate</w:delText>
        </w:r>
      </w:del>
      <w:ins w:id="272" w:author="Revision" w:date="2026-04-24T11:50:00Z" w16du:dateUtc="2026-04-24T09:50:00Z">
        <w:r>
          <w:t>In line with best-practice conventions, we evaluated</w:t>
        </w:r>
      </w:ins>
      <w:r>
        <w:t xml:space="preserve"> the relevance of age and condition for children’s performance</w:t>
      </w:r>
      <w:del w:id="273" w:author="Revision" w:date="2026-04-24T11:50:00Z" w16du:dateUtc="2026-04-24T09:50:00Z">
        <w:r>
          <w:delText xml:space="preserve">, a </w:delText>
        </w:r>
      </w:del>
      <w:ins w:id="274" w:author="Revision" w:date="2026-04-24T11:50:00Z" w16du:dateUtc="2026-04-24T09:50:00Z">
        <w:r>
          <w:t xml:space="preserve"> prior to interpreting coefficients. For this, the </w:t>
        </w:r>
      </w:ins>
      <w:r>
        <w:t xml:space="preserve">full model </w:t>
      </w:r>
      <w:ins w:id="275" w:author="Revision" w:date="2026-04-24T11:50:00Z" w16du:dateUtc="2026-04-24T09:50:00Z">
        <w:r>
          <w:t xml:space="preserve">outlined above </w:t>
        </w:r>
      </w:ins>
      <w:r>
        <w:t>was compared with a reduced model lacking the interaction of age and condition</w:t>
      </w:r>
      <w:del w:id="276" w:author="Revision" w:date="2026-04-24T11:50:00Z" w16du:dateUtc="2026-04-24T09:50:00Z">
        <w:r>
          <w:delText xml:space="preserve"> using</w:delText>
        </w:r>
      </w:del>
      <w:ins w:id="277" w:author="Revision" w:date="2026-04-24T11:50:00Z" w16du:dateUtc="2026-04-24T09:50:00Z">
        <w:r>
          <w:t>. To assess the fit and relative explanatory power of either model, we used</w:t>
        </w:r>
      </w:ins>
      <w:r>
        <w:t xml:space="preserve"> Widely Applicable Information Criterion (WAIC) scores and weights (McElreath, 2018) as well as the difference in Expected Log Predictive Density (ELPD) via the function </w:t>
      </w:r>
      <w:proofErr w:type="spellStart"/>
      <w:r>
        <w:rPr>
          <w:i/>
          <w:iCs/>
        </w:rPr>
        <w:t>loo_compare</w:t>
      </w:r>
      <w:proofErr w:type="spellEnd"/>
      <w:del w:id="278" w:author="Revision" w:date="2026-04-24T11:50:00Z" w16du:dateUtc="2026-04-24T09:50:00Z">
        <w:r>
          <w:delText>. In</w:delText>
        </w:r>
      </w:del>
      <w:ins w:id="279" w:author="Revision" w:date="2026-04-24T11:50:00Z" w16du:dateUtc="2026-04-24T09:50:00Z">
        <w:r>
          <w:t xml:space="preserve"> (Sivula, Magnusson, </w:t>
        </w:r>
        <w:r>
          <w:lastRenderedPageBreak/>
          <w:t xml:space="preserve">Matamoros, &amp; </w:t>
        </w:r>
        <w:proofErr w:type="spellStart"/>
        <w:r>
          <w:t>Vehtari</w:t>
        </w:r>
        <w:proofErr w:type="spellEnd"/>
        <w:r>
          <w:t>, 2020). Across</w:t>
        </w:r>
      </w:ins>
      <w:r>
        <w:t xml:space="preserve"> all studies, the preregistered full model </w:t>
      </w:r>
      <w:del w:id="280" w:author="Revision" w:date="2026-04-24T11:50:00Z" w16du:dateUtc="2026-04-24T09:50:00Z">
        <w:r>
          <w:delText>appeared</w:delText>
        </w:r>
      </w:del>
      <w:ins w:id="281" w:author="Revision" w:date="2026-04-24T11:50:00Z" w16du:dateUtc="2026-04-24T09:50:00Z">
        <w:r>
          <w:t>proved</w:t>
        </w:r>
      </w:ins>
      <w:r>
        <w:t xml:space="preserve"> superior or equally predictive</w:t>
      </w:r>
      <w:del w:id="282" w:author="Revision" w:date="2026-04-24T11:50:00Z" w16du:dateUtc="2026-04-24T09:50:00Z">
        <w:r>
          <w:delText xml:space="preserve"> as the null model</w:delText>
        </w:r>
      </w:del>
      <w:r>
        <w:t>. Model estimates were inspected for the different predictors including their 95% Credible Interval (</w:t>
      </w:r>
      <w:proofErr w:type="spellStart"/>
      <w:r>
        <w:t>CrI</w:t>
      </w:r>
      <w:proofErr w:type="spellEnd"/>
      <w:r>
        <w:t xml:space="preserve">). In each study, the condition hypothesized as the most simple was set as the reference level within conditions. </w:t>
      </w:r>
      <w:del w:id="283" w:author="Revision" w:date="2026-04-24T11:50:00Z" w16du:dateUtc="2026-04-24T09:50:00Z">
        <w:r>
          <w:delText>To</w:delText>
        </w:r>
      </w:del>
      <w:ins w:id="284" w:author="Revision" w:date="2026-04-24T11:50:00Z" w16du:dateUtc="2026-04-24T09:50:00Z">
        <w:r>
          <w:t xml:space="preserve">All models were implemented in Stan (Stan Development Team, n.d.) via the function </w:t>
        </w:r>
        <w:proofErr w:type="spellStart"/>
        <w:r>
          <w:rPr>
            <w:i/>
            <w:iCs/>
          </w:rPr>
          <w:t>brm</w:t>
        </w:r>
        <w:proofErr w:type="spellEnd"/>
        <w:r>
          <w:t xml:space="preserve"> of the package </w:t>
        </w:r>
        <w:r>
          <w:rPr>
            <w:i/>
            <w:iCs/>
          </w:rPr>
          <w:t>brms</w:t>
        </w:r>
        <w:r>
          <w:t xml:space="preserve"> (</w:t>
        </w:r>
        <w:proofErr w:type="spellStart"/>
        <w:r>
          <w:t>Bürkner</w:t>
        </w:r>
        <w:proofErr w:type="spellEnd"/>
        <w:r>
          <w:t>, 2017).</w:t>
        </w:r>
      </w:ins>
    </w:p>
    <w:p w14:paraId="72DCB6AE" w14:textId="77777777" w:rsidR="005D4CD1" w:rsidRDefault="00000000" w:rsidP="00671125">
      <w:pPr>
        <w:pStyle w:val="Textkrper"/>
        <w:jc w:val="both"/>
        <w:rPr>
          <w:ins w:id="285" w:author="Revision" w:date="2026-04-24T11:50:00Z" w16du:dateUtc="2026-04-24T09:50:00Z"/>
        </w:rPr>
      </w:pPr>
      <w:ins w:id="286" w:author="Revision" w:date="2026-04-24T11:50:00Z" w16du:dateUtc="2026-04-24T09:50:00Z">
        <w:r>
          <w:t>In order to answer our main research question of when children systematically perform above chance in each condition, we followed the approach of House and colleagues (House et al., 2013) and plotted the model estimates as a smoothed curve surrounded by Credible Intervals (</w:t>
        </w:r>
        <w:proofErr w:type="spellStart"/>
        <w:r>
          <w:t>CrI</w:t>
        </w:r>
        <w:proofErr w:type="spellEnd"/>
        <w:r>
          <w:t xml:space="preserve">). We generated developmental trajectories with 95% </w:t>
        </w:r>
        <w:proofErr w:type="spellStart"/>
        <w:r>
          <w:t>CrIs</w:t>
        </w:r>
        <w:proofErr w:type="spellEnd"/>
        <w:r>
          <w:t xml:space="preserve"> from the posterior predicted distribution via the function </w:t>
        </w:r>
        <w:r>
          <w:rPr>
            <w:i/>
            <w:iCs/>
          </w:rPr>
          <w:t>fitted</w:t>
        </w:r>
        <w:r>
          <w:t xml:space="preserve"> and plotted them with children’s age on the horizontal axis and the probability of correct choices on the vertical axis. Chance level was marked via a 50% chance line for orientation. Children as a group were considered to perform above chance only when the lower bound of the 95% </w:t>
        </w:r>
        <w:proofErr w:type="spellStart"/>
        <w:r>
          <w:t>CrI</w:t>
        </w:r>
        <w:proofErr w:type="spellEnd"/>
        <w:r>
          <w:t xml:space="preserve"> no longer overlapped with the 50% chance line (e.g. figures 2, 3, and 4).</w:t>
        </w:r>
      </w:ins>
    </w:p>
    <w:p w14:paraId="2F8E2325" w14:textId="77777777" w:rsidR="00AE3AC5" w:rsidRDefault="00000000" w:rsidP="00FD67B5">
      <w:pPr>
        <w:pStyle w:val="FirstParagraph"/>
        <w:jc w:val="both"/>
        <w:rPr>
          <w:del w:id="287" w:author="Revision" w:date="2026-04-24T11:50:00Z" w16du:dateUtc="2026-04-24T09:50:00Z"/>
        </w:rPr>
      </w:pPr>
      <w:ins w:id="288" w:author="Revision" w:date="2026-04-24T11:50:00Z" w16du:dateUtc="2026-04-24T09:50:00Z">
        <w:r>
          <w:t>All analyses and our hypotheses about the relative difficulty of conditions were preregistered prior to data collection. However, the specific age-point predictions are exploratory, and our use of ELPD for model comparison (Sivula et al., 2020) represents a modern refinement over the methods available at the time of preregistration. To additionally</w:t>
        </w:r>
      </w:ins>
      <w:r>
        <w:t xml:space="preserve"> evaluate variability at the level of the items tested, additional exploratory analyses included item level random effects (Model notation </w:t>
      </w:r>
      <w:r>
        <w:rPr>
          <w:rStyle w:val="VerbatimChar"/>
        </w:rPr>
        <w:t>correct ~ condition*</w:t>
      </w:r>
      <w:proofErr w:type="spellStart"/>
      <w:r>
        <w:rPr>
          <w:rStyle w:val="VerbatimChar"/>
        </w:rPr>
        <w:t>z.age</w:t>
      </w:r>
      <w:proofErr w:type="spellEnd"/>
      <w:r>
        <w:rPr>
          <w:rStyle w:val="VerbatimChar"/>
        </w:rPr>
        <w:t xml:space="preserve"> +</w:t>
      </w:r>
      <w:proofErr w:type="spellStart"/>
      <w:r>
        <w:rPr>
          <w:rStyle w:val="VerbatimChar"/>
        </w:rPr>
        <w:t>z.trial</w:t>
      </w:r>
      <w:proofErr w:type="spellEnd"/>
      <w:r>
        <w:rPr>
          <w:rStyle w:val="VerbatimChar"/>
        </w:rPr>
        <w:t xml:space="preserve"> +</w:t>
      </w:r>
      <w:proofErr w:type="spellStart"/>
      <w:r>
        <w:rPr>
          <w:rStyle w:val="VerbatimChar"/>
        </w:rPr>
        <w:t>z.sex</w:t>
      </w:r>
      <w:proofErr w:type="spellEnd"/>
      <w:r>
        <w:rPr>
          <w:rStyle w:val="VerbatimChar"/>
        </w:rPr>
        <w:t xml:space="preserve"> +(</w:t>
      </w:r>
      <w:proofErr w:type="spellStart"/>
      <w:r>
        <w:rPr>
          <w:rStyle w:val="VerbatimChar"/>
        </w:rPr>
        <w:t>z.trial|id</w:t>
      </w:r>
      <w:proofErr w:type="spellEnd"/>
      <w:r>
        <w:rPr>
          <w:rStyle w:val="VerbatimChar"/>
        </w:rPr>
        <w:t>) +(</w:t>
      </w:r>
      <w:proofErr w:type="spellStart"/>
      <w:r>
        <w:rPr>
          <w:rStyle w:val="VerbatimChar"/>
        </w:rPr>
        <w:t>z.age|item</w:t>
      </w:r>
      <w:proofErr w:type="spellEnd"/>
      <w:r>
        <w:rPr>
          <w:rStyle w:val="VerbatimChar"/>
        </w:rPr>
        <w:t>)</w:t>
      </w:r>
      <w:r>
        <w:t xml:space="preserve">). </w:t>
      </w:r>
      <w:del w:id="289" w:author="Revision" w:date="2026-04-24T11:50:00Z" w16du:dateUtc="2026-04-24T09:50:00Z">
        <w:r>
          <w:delText xml:space="preserve">All Bayesian models used default priors and were run in Stan (Stan Development Team, n.d.) via the function </w:delText>
        </w:r>
        <w:r>
          <w:rPr>
            <w:i/>
            <w:iCs/>
          </w:rPr>
          <w:delText>brm</w:delText>
        </w:r>
        <w:r>
          <w:delText xml:space="preserve"> of the package </w:delText>
        </w:r>
        <w:r>
          <w:rPr>
            <w:i/>
            <w:iCs/>
          </w:rPr>
          <w:delText>brms</w:delText>
        </w:r>
        <w:r>
          <w:delText xml:space="preserve"> (Bürkner, 2017). To answer </w:delText>
        </w:r>
        <w:r>
          <w:lastRenderedPageBreak/>
          <w:delText xml:space="preserve">the main research question of when children as a group systematically make correct choices in any of the conditions outlined below, we followed the approach of House and colleagues (House et al., 2013) and plotted the model estimates graphically as a smoothed curve surrounded by the respective confidence intervals. We fitted models to predict the developmental trajectory (with 95% CrI) of group level performance drawn from values of the posterior predicted distribution via the function </w:delText>
        </w:r>
        <w:r>
          <w:rPr>
            <w:i/>
            <w:iCs/>
          </w:rPr>
          <w:delText>fitted</w:delText>
        </w:r>
        <w:r>
          <w:delText>. These trajectories and CrIs were plotted by age. The criterion for settling when children performed above chance was the point at which the lower bound of the 95% CrI for a particular trajectory did no longer overlap with a mid-line demarcating the 50% chance level. All analyses were preregistered prior to data collection. Analyses deviate from the preregistered analyses when comparing models via ELPD differences (Sivula, Magnusson, Matamoros, &amp; Vehtari, 2020). This was simply not as common by the time of preregistration.</w:delText>
        </w:r>
      </w:del>
    </w:p>
    <w:p w14:paraId="18591E76" w14:textId="77777777" w:rsidR="005D4CD1" w:rsidRDefault="00000000" w:rsidP="00671125">
      <w:pPr>
        <w:pStyle w:val="Textkrper"/>
        <w:jc w:val="both"/>
      </w:pPr>
      <w:r>
        <w:t>For brevity, tables outlining the coefficients for the final models were moved to the supplementary materials along with the exploratory item-level analyses outlined above. The supplements also provide conventional analyses binning participants according to their age in years</w:t>
      </w:r>
      <w:del w:id="290" w:author="Revision" w:date="2026-04-24T11:50:00Z" w16du:dateUtc="2026-04-24T09:50:00Z">
        <w:r>
          <w:delText>. To test whether group-level performance was</w:delText>
        </w:r>
      </w:del>
      <w:ins w:id="291" w:author="Revision" w:date="2026-04-24T11:50:00Z" w16du:dateUtc="2026-04-24T09:50:00Z">
        <w:r>
          <w:t xml:space="preserve"> for readers that are less familiar with the analyses described</w:t>
        </w:r>
      </w:ins>
      <w:r>
        <w:t xml:space="preserve"> above</w:t>
      </w:r>
      <w:del w:id="292" w:author="Revision" w:date="2026-04-24T11:50:00Z" w16du:dateUtc="2026-04-24T09:50:00Z">
        <w:r>
          <w:delText xml:space="preserve"> chance in all experimental groups</w:delText>
        </w:r>
      </w:del>
      <w:ins w:id="293" w:author="Revision" w:date="2026-04-24T11:50:00Z" w16du:dateUtc="2026-04-24T09:50:00Z">
        <w:r>
          <w:t>. In the supplements</w:t>
        </w:r>
      </w:ins>
      <w:r>
        <w:t xml:space="preserve">, two-tailed one-sample t-tests with a chance level set to .5 were computed </w:t>
      </w:r>
      <w:del w:id="294" w:author="Revision" w:date="2026-04-24T11:50:00Z" w16du:dateUtc="2026-04-24T09:50:00Z">
        <w:r>
          <w:delText>and are accompanied by</w:delText>
        </w:r>
      </w:del>
      <w:ins w:id="295" w:author="Revision" w:date="2026-04-24T11:50:00Z" w16du:dateUtc="2026-04-24T09:50:00Z">
        <w:r>
          <w:t>for participants binned according to year of age. Here,</w:t>
        </w:r>
      </w:ins>
      <w:r>
        <w:t xml:space="preserve"> Cohen’s </w:t>
      </w:r>
      <w:r>
        <w:rPr>
          <w:i/>
          <w:iCs/>
        </w:rPr>
        <w:t>d</w:t>
      </w:r>
      <w:ins w:id="296" w:author="Revision" w:date="2026-04-24T11:50:00Z" w16du:dateUtc="2026-04-24T09:50:00Z">
        <w:r>
          <w:t xml:space="preserve"> is provided</w:t>
        </w:r>
      </w:ins>
      <w:r>
        <w:t xml:space="preserve"> as a standardized effect size for significance testing.</w:t>
      </w:r>
    </w:p>
    <w:p w14:paraId="2DF2420D" w14:textId="77777777" w:rsidR="005D4CD1" w:rsidRDefault="00000000">
      <w:pPr>
        <w:pStyle w:val="berschrift1"/>
      </w:pPr>
      <w:bookmarkStart w:id="297" w:name="study-1"/>
      <w:bookmarkEnd w:id="188"/>
      <w:bookmarkEnd w:id="240"/>
      <w:r>
        <w:t>Study 1</w:t>
      </w:r>
    </w:p>
    <w:p w14:paraId="41DCB481" w14:textId="77777777" w:rsidR="005D4CD1" w:rsidRDefault="00000000" w:rsidP="00671125">
      <w:pPr>
        <w:pStyle w:val="FirstParagraph"/>
        <w:jc w:val="both"/>
      </w:pPr>
      <w:r>
        <w:t xml:space="preserve">Study 1 aimed to establish a baseline for children’s performance and for evaluating task demands by providing the simplest symbol-referent relationship possible, where the cue is a </w:t>
      </w:r>
      <w:r>
        <w:lastRenderedPageBreak/>
        <w:t>direct representation of the target (</w:t>
      </w:r>
      <w:r>
        <w:rPr>
          <w:i/>
          <w:iCs/>
        </w:rPr>
        <w:t>Representation</w:t>
      </w:r>
      <w:del w:id="298" w:author="Revision" w:date="2026-04-24T11:50:00Z" w16du:dateUtc="2026-04-24T09:50:00Z">
        <w:r>
          <w:delText>).</w:delText>
        </w:r>
      </w:del>
      <w:ins w:id="299" w:author="Revision" w:date="2026-04-24T11:50:00Z" w16du:dateUtc="2026-04-24T09:50:00Z">
        <w:r>
          <w:t>), which children should master at the end of the third year (Callaghan, 1999, 2000).</w:t>
        </w:r>
      </w:ins>
      <w:r>
        <w:t xml:space="preserve"> From this, three further conditions were derived that were also employing form or shape as a means for establishing reference but that were less iconic by either reducing the amount of information provided (</w:t>
      </w:r>
      <w:r>
        <w:rPr>
          <w:i/>
          <w:iCs/>
        </w:rPr>
        <w:t>Pars Pro Toto</w:t>
      </w:r>
      <w:r>
        <w:t xml:space="preserve">), or the amount of similarity between </w:t>
      </w:r>
      <w:del w:id="300" w:author="Revision" w:date="2026-04-24T11:50:00Z" w16du:dateUtc="2026-04-24T09:50:00Z">
        <w:r>
          <w:delText>symbol</w:delText>
        </w:r>
      </w:del>
      <w:ins w:id="301" w:author="Revision" w:date="2026-04-24T11:50:00Z" w16du:dateUtc="2026-04-24T09:50:00Z">
        <w:r>
          <w:t>cue</w:t>
        </w:r>
      </w:ins>
      <w:r>
        <w:t xml:space="preserve"> and </w:t>
      </w:r>
      <w:del w:id="302" w:author="Revision" w:date="2026-04-24T11:50:00Z" w16du:dateUtc="2026-04-24T09:50:00Z">
        <w:r>
          <w:delText>referent</w:delText>
        </w:r>
      </w:del>
      <w:ins w:id="303" w:author="Revision" w:date="2026-04-24T11:50:00Z" w16du:dateUtc="2026-04-24T09:50:00Z">
        <w:r>
          <w:t>target</w:t>
        </w:r>
      </w:ins>
      <w:r>
        <w:t xml:space="preserve"> (</w:t>
      </w:r>
      <w:r>
        <w:rPr>
          <w:i/>
          <w:iCs/>
        </w:rPr>
        <w:t>Simple Form Analogy, Complex Form Analogy</w:t>
      </w:r>
      <w:r>
        <w:t xml:space="preserve">). </w:t>
      </w:r>
      <w:del w:id="304" w:author="Revision" w:date="2026-04-24T11:50:00Z" w16du:dateUtc="2026-04-24T09:50:00Z">
        <w:r>
          <w:delText>We hypothesized (</w:delText>
        </w:r>
      </w:del>
      <w:ins w:id="305" w:author="Revision" w:date="2026-04-24T11:50:00Z" w16du:dateUtc="2026-04-24T09:50:00Z">
        <w:r>
          <w:t xml:space="preserve">With </w:t>
        </w:r>
        <w:r>
          <w:rPr>
            <w:i/>
            <w:iCs/>
          </w:rPr>
          <w:t>Pars Pro Toto</w:t>
        </w:r>
        <w:r>
          <w:t xml:space="preserve"> likely being more challenging than </w:t>
        </w:r>
        <w:r>
          <w:rPr>
            <w:i/>
            <w:iCs/>
          </w:rPr>
          <w:t>Representation</w:t>
        </w:r>
        <w:r>
          <w:t xml:space="preserve"> due to the completion required, </w:t>
        </w:r>
      </w:ins>
      <w:r>
        <w:t xml:space="preserve">and </w:t>
      </w:r>
      <w:ins w:id="306" w:author="Revision" w:date="2026-04-24T11:50:00Z" w16du:dateUtc="2026-04-24T09:50:00Z">
        <w:r>
          <w:t xml:space="preserve">form analogies being relatively abstract, our </w:t>
        </w:r>
      </w:ins>
      <w:r>
        <w:t>preregistered</w:t>
      </w:r>
      <w:del w:id="307" w:author="Revision" w:date="2026-04-24T11:50:00Z" w16du:dateUtc="2026-04-24T09:50:00Z">
        <w:r>
          <w:delText>)</w:delText>
        </w:r>
      </w:del>
      <w:ins w:id="308" w:author="Revision" w:date="2026-04-24T11:50:00Z" w16du:dateUtc="2026-04-24T09:50:00Z">
        <w:r>
          <w:t xml:space="preserve"> hypothesis was</w:t>
        </w:r>
      </w:ins>
      <w:r>
        <w:t xml:space="preserve"> that as a group, children will first succeed with </w:t>
      </w:r>
      <w:r>
        <w:rPr>
          <w:i/>
          <w:iCs/>
        </w:rPr>
        <w:t>Representation</w:t>
      </w:r>
      <w:r>
        <w:t xml:space="preserve">, then </w:t>
      </w:r>
      <w:r>
        <w:rPr>
          <w:i/>
          <w:iCs/>
        </w:rPr>
        <w:t>Pars Pro Toto</w:t>
      </w:r>
      <w:r>
        <w:t xml:space="preserve">, </w:t>
      </w:r>
      <w:r>
        <w:rPr>
          <w:i/>
          <w:iCs/>
        </w:rPr>
        <w:t>Simple Form Analogy</w:t>
      </w:r>
      <w:r>
        <w:t xml:space="preserve"> and finally </w:t>
      </w:r>
      <w:r>
        <w:rPr>
          <w:i/>
          <w:iCs/>
        </w:rPr>
        <w:t>Complex Form Analogy</w:t>
      </w:r>
      <w:r>
        <w:t>.</w:t>
      </w:r>
    </w:p>
    <w:p w14:paraId="4B059327" w14:textId="77777777" w:rsidR="005D4CD1" w:rsidRDefault="00000000" w:rsidP="00671125">
      <w:pPr>
        <w:pStyle w:val="berschrift2"/>
        <w:jc w:val="both"/>
      </w:pPr>
      <w:bookmarkStart w:id="309" w:name="stimuli"/>
      <w:r>
        <w:t>Stimuli</w:t>
      </w:r>
    </w:p>
    <w:p w14:paraId="2FEB144A" w14:textId="77777777" w:rsidR="005D4CD1" w:rsidRDefault="00000000" w:rsidP="00671125">
      <w:pPr>
        <w:pStyle w:val="FirstParagraph"/>
        <w:jc w:val="both"/>
      </w:pPr>
      <w:r>
        <w:t>To make the four conditions in study 1 as comparable as possible, they are all employing the same target stimuli (cf. figure 2, panels A and B). In addition</w:t>
      </w:r>
      <w:ins w:id="310" w:author="Revision" w:date="2026-04-24T11:50:00Z" w16du:dateUtc="2026-04-24T09:50:00Z">
        <w:r>
          <w:t>,</w:t>
        </w:r>
      </w:ins>
      <w:r>
        <w:t xml:space="preserve"> the two </w:t>
      </w:r>
      <w:del w:id="311" w:author="Revision" w:date="2026-04-24T11:50:00Z" w16du:dateUtc="2026-04-24T09:50:00Z">
        <w:r>
          <w:delText>referents</w:delText>
        </w:r>
      </w:del>
      <w:ins w:id="312" w:author="Revision" w:date="2026-04-24T11:50:00Z" w16du:dateUtc="2026-04-24T09:50:00Z">
        <w:r>
          <w:t>cues</w:t>
        </w:r>
      </w:ins>
      <w:r>
        <w:t xml:space="preserve"> within a trial can be seen as the round and square equivalents of each other. </w:t>
      </w:r>
      <w:del w:id="313" w:author="Revision" w:date="2026-04-24T11:50:00Z" w16du:dateUtc="2026-04-24T09:50:00Z">
        <w:r>
          <w:delText>For the condition</w:delText>
        </w:r>
      </w:del>
      <w:ins w:id="314" w:author="Revision" w:date="2026-04-24T11:50:00Z" w16du:dateUtc="2026-04-24T09:50:00Z">
        <w:r>
          <w:t>In</w:t>
        </w:r>
      </w:ins>
      <w:r>
        <w:t xml:space="preserve"> </w:t>
      </w:r>
      <w:r>
        <w:rPr>
          <w:i/>
          <w:iCs/>
        </w:rPr>
        <w:t>Representation,</w:t>
      </w:r>
      <w:r>
        <w:t xml:space="preserve"> the graphical cue is an outline drawing</w:t>
      </w:r>
      <w:del w:id="315" w:author="Revision" w:date="2026-04-24T11:50:00Z" w16du:dateUtc="2026-04-24T09:50:00Z">
        <w:r>
          <w:delText>,</w:delText>
        </w:r>
      </w:del>
      <w:r>
        <w:t xml:space="preserve"> of the </w:t>
      </w:r>
      <w:del w:id="316" w:author="Revision" w:date="2026-04-24T11:50:00Z" w16du:dateUtc="2026-04-24T09:50:00Z">
        <w:r>
          <w:delText>referent</w:delText>
        </w:r>
      </w:del>
      <w:ins w:id="317" w:author="Revision" w:date="2026-04-24T11:50:00Z" w16du:dateUtc="2026-04-24T09:50:00Z">
        <w:r>
          <w:t>target</w:t>
        </w:r>
      </w:ins>
      <w:r>
        <w:t xml:space="preserve">. The second condition, </w:t>
      </w:r>
      <w:r>
        <w:rPr>
          <w:i/>
          <w:iCs/>
        </w:rPr>
        <w:t>Pars Pro Toto,</w:t>
      </w:r>
      <w:r>
        <w:t xml:space="preserve"> refers to the targets by means of a part-whole relationship. This </w:t>
      </w:r>
      <w:del w:id="318" w:author="Revision" w:date="2026-04-24T11:50:00Z" w16du:dateUtc="2026-04-24T09:50:00Z">
        <w:r>
          <w:delText>is still in principle representational but provides less information and may require</w:delText>
        </w:r>
      </w:del>
      <w:ins w:id="319" w:author="Revision" w:date="2026-04-24T11:50:00Z" w16du:dateUtc="2026-04-24T09:50:00Z">
        <w:r>
          <w:t>requires</w:t>
        </w:r>
      </w:ins>
      <w:r>
        <w:t xml:space="preserve"> children to complete the shapes according to gestalt principles. While this</w:t>
      </w:r>
      <w:del w:id="320" w:author="Revision" w:date="2026-04-24T11:50:00Z" w16du:dateUtc="2026-04-24T09:50:00Z">
        <w:r>
          <w:delText xml:space="preserve"> completion</w:delText>
        </w:r>
      </w:del>
      <w:r>
        <w:t xml:space="preserve"> is easiest in the first two items of </w:t>
      </w:r>
      <w:r>
        <w:rPr>
          <w:i/>
          <w:iCs/>
        </w:rPr>
        <w:t>Pars pro Toto</w:t>
      </w:r>
      <w:r>
        <w:t xml:space="preserve"> due to the canonical shapes (square, circle) it is less obvious with the less canonical shapes albeit they are vertically and horizontally symmetrical on purpose (cf. 2 B, box 2). For comparability, </w:t>
      </w:r>
      <w:r>
        <w:rPr>
          <w:i/>
          <w:iCs/>
        </w:rPr>
        <w:t>Pars Pro Toto</w:t>
      </w:r>
      <w:r>
        <w:t xml:space="preserve"> uses the same graphical cues as </w:t>
      </w:r>
      <w:r>
        <w:rPr>
          <w:i/>
          <w:iCs/>
        </w:rPr>
        <w:t>Representation</w:t>
      </w:r>
      <w:r>
        <w:t xml:space="preserve"> but cut in half at a horizontal mid-line. A Stimulus set of an individual trial either uses the top or bottom half, but both variations are counterbalanced across trials. Two further conditions aimed to abstract from the original representational symbol-referent relationship by providing graphical </w:t>
      </w:r>
      <w:r>
        <w:lastRenderedPageBreak/>
        <w:t xml:space="preserve">analogies in form. In both </w:t>
      </w:r>
      <w:r>
        <w:rPr>
          <w:i/>
          <w:iCs/>
        </w:rPr>
        <w:t>Simple Form Analogy</w:t>
      </w:r>
      <w:r>
        <w:t xml:space="preserve"> and </w:t>
      </w:r>
      <w:r>
        <w:rPr>
          <w:i/>
          <w:iCs/>
        </w:rPr>
        <w:t>Complex Form Analogy</w:t>
      </w:r>
      <w:r>
        <w:t xml:space="preserve"> the cue was an abstract line drawing being more round or rectangular, thereby referring to either the round or rectangular equivalent of the target shapes. As this has not been done before in developmental research, our aim was to provide two versions of form analogies both supporting children’s comprehension in distinct ways. In </w:t>
      </w:r>
      <w:r>
        <w:rPr>
          <w:i/>
          <w:iCs/>
        </w:rPr>
        <w:t>Simple Form Analogy</w:t>
      </w:r>
      <w:r>
        <w:t xml:space="preserve">, the cues are less dense and therefore simpler to grasp, whereas the more complex versions in </w:t>
      </w:r>
      <w:r>
        <w:rPr>
          <w:i/>
          <w:iCs/>
        </w:rPr>
        <w:t>Complex Form Analogy</w:t>
      </w:r>
      <w:r>
        <w:t xml:space="preserve"> provide more information. For an overview of all stimuli</w:t>
      </w:r>
      <w:ins w:id="321" w:author="Revision" w:date="2026-04-24T11:50:00Z" w16du:dateUtc="2026-04-24T09:50:00Z">
        <w:r>
          <w:t xml:space="preserve"> employed</w:t>
        </w:r>
      </w:ins>
      <w:r>
        <w:t xml:space="preserve"> in Study 1, see figure 2 B.</w:t>
      </w:r>
    </w:p>
    <w:p w14:paraId="68761B8B" w14:textId="77777777" w:rsidR="005D4CD1" w:rsidRDefault="00000000" w:rsidP="00671125">
      <w:pPr>
        <w:pStyle w:val="berschrift2"/>
        <w:jc w:val="both"/>
      </w:pPr>
      <w:bookmarkStart w:id="322" w:name="participants-and-sample"/>
      <w:bookmarkEnd w:id="309"/>
      <w:r>
        <w:t>Participants and Sample</w:t>
      </w:r>
    </w:p>
    <w:p w14:paraId="160B9A56" w14:textId="77777777" w:rsidR="005D4CD1" w:rsidRDefault="00000000" w:rsidP="00671125">
      <w:pPr>
        <w:pStyle w:val="FirstParagraph"/>
        <w:jc w:val="both"/>
      </w:pPr>
      <w:r>
        <w:t>A sample of 106 children (M = 59.18 months, SD = 13.58 months, range 36 - 83 months; 51 female) participated in Study 1. In addition, 22 children (11 female) were tested but excluded from analysis for not succeeding during familiarization (N = 13), for not completing at least eight out of 16 test trials (N = 1), or due to being fussy (N = 2). For 4 children, experimenters only learned during testing that they were not fluent enough in German to participate as their families had only recently migrated. Finally, 2 children had to be excluded due to technical issues. A total of 1688 trials (mean per condition = 422, range: 420 - 424) from 106 participants were submitted for analysis.</w:t>
      </w:r>
    </w:p>
    <w:p w14:paraId="562C8BDD" w14:textId="77777777" w:rsidR="005D4CD1" w:rsidRDefault="00000000" w:rsidP="00671125">
      <w:pPr>
        <w:pStyle w:val="berschrift2"/>
        <w:jc w:val="both"/>
      </w:pPr>
      <w:bookmarkStart w:id="323" w:name="results"/>
      <w:bookmarkEnd w:id="322"/>
      <w:r>
        <w:t>Results</w:t>
      </w:r>
    </w:p>
    <w:p w14:paraId="05FE8716" w14:textId="77777777" w:rsidR="005D4CD1" w:rsidRDefault="00000000" w:rsidP="00671125">
      <w:pPr>
        <w:pStyle w:val="FirstParagraph"/>
        <w:jc w:val="both"/>
      </w:pPr>
      <w:r>
        <w:t xml:space="preserve">Posterior predictive checks (PPC) for both full and null model indicated excellent fit of observed data and model predictions. </w:t>
      </w:r>
      <w:proofErr w:type="spellStart"/>
      <w:r>
        <w:t>Rhat</w:t>
      </w:r>
      <w:proofErr w:type="spellEnd"/>
      <w:r>
        <w:t xml:space="preserve"> values in both models were equal to one, indicating convergence across all chains. Effective sample sizes for all fixed effects in the full model (Bulk ESS, mean = 6222, range 4323 - 10098) and the null model (Bulk ESS, mean = 5777, range 4351 - 8307) were &gt; 1000, indicating reliable posterior estimations.</w:t>
      </w:r>
    </w:p>
    <w:p w14:paraId="10911CC1" w14:textId="77777777" w:rsidR="005D4CD1" w:rsidRDefault="00000000" w:rsidP="00671125">
      <w:pPr>
        <w:pStyle w:val="Textkrper"/>
        <w:jc w:val="both"/>
      </w:pPr>
      <w:r>
        <w:lastRenderedPageBreak/>
        <w:t>Comparing the models using weights based on the Widely Applicable Information Criterion (WAIC) yielded 74.52% of the model weight for the full model, and 25.48% for the null model. Hence, the full model generally had a higher probability of making accurate predictions. Directly comparing the models’ WAIC via expected log predictive density (ELPD) corroborates this (ELPD WAIC; full model = -901.11; null model = -903.53). The standard error of the difference in predictive accuracy (SE = 3.14) is not much larger than the difference itself (ELPD diff = -2.42). Hence, evidence in favor of this model is not decisive. A similar comparison via Leave-One-Out Cross-Validation (LOO) provided essentially the same results. In absence of conclusive evidence for either model, we report the results for the full model in line with the preregistration.</w:t>
      </w:r>
    </w:p>
    <w:p w14:paraId="2A08CFB6" w14:textId="77777777" w:rsidR="005D4CD1" w:rsidRDefault="00000000" w:rsidP="00671125">
      <w:pPr>
        <w:pStyle w:val="Textkrper"/>
        <w:jc w:val="both"/>
      </w:pPr>
      <w:r>
        <w:t xml:space="preserve">Relative to the </w:t>
      </w:r>
      <w:r>
        <w:rPr>
          <w:i/>
          <w:iCs/>
        </w:rPr>
        <w:t>Representation</w:t>
      </w:r>
      <w:r>
        <w:t xml:space="preserve"> condition, the </w:t>
      </w:r>
      <w:r>
        <w:rPr>
          <w:i/>
          <w:iCs/>
        </w:rPr>
        <w:t>Simple Form Analogy</w:t>
      </w:r>
      <w:r>
        <w:t xml:space="preserve"> (</w:t>
      </w:r>
      <m:oMath>
        <m:r>
          <w:rPr>
            <w:rFonts w:ascii="Cambria Math" w:hAnsi="Cambria Math"/>
          </w:rPr>
          <m:t>β</m:t>
        </m:r>
      </m:oMath>
      <w:r>
        <w:t xml:space="preserve"> = -1.39, 95% CrI [-1.75, -1.03]) and </w:t>
      </w:r>
      <w:r>
        <w:rPr>
          <w:i/>
          <w:iCs/>
        </w:rPr>
        <w:t>Complex Form Analogy</w:t>
      </w:r>
      <w:r>
        <w:t xml:space="preserve"> (</w:t>
      </w:r>
      <m:oMath>
        <m:r>
          <w:rPr>
            <w:rFonts w:ascii="Cambria Math" w:hAnsi="Cambria Math"/>
          </w:rPr>
          <m:t>β</m:t>
        </m:r>
      </m:oMath>
      <w:r>
        <w:t xml:space="preserve"> = -1.36, 95% CrI [-1.73, -1.00]) have a considerably lower probability of correct responses. The </w:t>
      </w:r>
      <w:r>
        <w:rPr>
          <w:i/>
          <w:iCs/>
        </w:rPr>
        <w:t>Pars Pro Toto</w:t>
      </w:r>
      <w:r>
        <w:t xml:space="preserve"> condition has no clear difference from the </w:t>
      </w:r>
      <w:del w:id="324" w:author="Revision" w:date="2026-04-24T11:50:00Z" w16du:dateUtc="2026-04-24T09:50:00Z">
        <w:r>
          <w:delText>reference</w:delText>
        </w:r>
      </w:del>
      <w:ins w:id="325" w:author="Revision" w:date="2026-04-24T11:50:00Z" w16du:dateUtc="2026-04-24T09:50:00Z">
        <w:r>
          <w:rPr>
            <w:i/>
            <w:iCs/>
          </w:rPr>
          <w:t>Representation</w:t>
        </w:r>
      </w:ins>
      <w:r>
        <w:t xml:space="preserve"> condition (</w:t>
      </w:r>
      <m:oMath>
        <m:r>
          <w:rPr>
            <w:rFonts w:ascii="Cambria Math" w:hAnsi="Cambria Math"/>
          </w:rPr>
          <m:t>β</m:t>
        </m:r>
      </m:oMath>
      <w:r>
        <w:t xml:space="preserve"> = -0.14, 95% CrI [-0.54, 0.28]). Interaction effects with age were not relevant with the exception of </w:t>
      </w:r>
      <w:r>
        <w:rPr>
          <w:i/>
          <w:iCs/>
        </w:rPr>
        <w:t>Pars Pro Toto</w:t>
      </w:r>
      <w:r>
        <w:t>. Here, the interaction with age was positive and just above zero (</w:t>
      </w:r>
      <m:oMath>
        <m:r>
          <w:rPr>
            <w:rFonts w:ascii="Cambria Math" w:hAnsi="Cambria Math"/>
          </w:rPr>
          <m:t>β</m:t>
        </m:r>
      </m:oMath>
      <w:r>
        <w:t xml:space="preserve"> = 0.30, 95% CrI [-0.05, 0.67]), suggesting that performance increased more steeply across the age range than in the </w:t>
      </w:r>
      <w:del w:id="326" w:author="Revision" w:date="2026-04-24T11:50:00Z" w16du:dateUtc="2026-04-24T09:50:00Z">
        <w:r>
          <w:delText xml:space="preserve">reference condition </w:delText>
        </w:r>
      </w:del>
      <w:r>
        <w:rPr>
          <w:i/>
          <w:iCs/>
        </w:rPr>
        <w:t>Representation</w:t>
      </w:r>
      <w:ins w:id="327" w:author="Revision" w:date="2026-04-24T11:50:00Z" w16du:dateUtc="2026-04-24T09:50:00Z">
        <w:r>
          <w:t xml:space="preserve"> condition</w:t>
        </w:r>
      </w:ins>
      <w:r>
        <w:rPr>
          <w:i/>
          <w:iCs/>
        </w:rPr>
        <w:t>.</w:t>
      </w:r>
      <w:r>
        <w:t xml:space="preserve"> Generally, participants’ performance improved with age in all conditions (</w:t>
      </w:r>
      <m:oMath>
        <m:r>
          <w:rPr>
            <w:rFonts w:ascii="Cambria Math" w:hAnsi="Cambria Math"/>
          </w:rPr>
          <m:t>β</m:t>
        </m:r>
      </m:oMath>
      <w:r>
        <w:t xml:space="preserve"> = 0.42, 95% CrI [0.13, 0.72]). In contrast, trial number has no clear effect on performance (</w:t>
      </w:r>
      <m:oMath>
        <m:r>
          <w:rPr>
            <w:rFonts w:ascii="Cambria Math" w:hAnsi="Cambria Math"/>
          </w:rPr>
          <m:t>β</m:t>
        </m:r>
      </m:oMath>
      <w:r>
        <w:t xml:space="preserve"> = -0.01, 95% CrI [-0.15, 0.12]), suggesting no evidence for learning or fatigue throughout the test session. For a side-by-side comparison of the developmental trajectories in the four conditions of study 1</w:t>
      </w:r>
      <w:ins w:id="328" w:author="Revision" w:date="2026-04-24T11:50:00Z" w16du:dateUtc="2026-04-24T09:50:00Z">
        <w:r>
          <w:t xml:space="preserve"> and the respective ages of success</w:t>
        </w:r>
      </w:ins>
      <w:r>
        <w:t>, see figure 2.</w:t>
      </w:r>
    </w:p>
    <w:p w14:paraId="2F154A6A" w14:textId="77777777" w:rsidR="005D4CD1" w:rsidRDefault="00000000" w:rsidP="00671125">
      <w:pPr>
        <w:pStyle w:val="CaptionedFigure"/>
        <w:framePr w:wrap="notBeside"/>
        <w:jc w:val="both"/>
      </w:pPr>
      <w:r>
        <w:rPr>
          <w:noProof/>
        </w:rPr>
        <w:lastRenderedPageBreak/>
        <w:drawing>
          <wp:inline distT="0" distB="0" distL="0" distR="0" wp14:anchorId="33A6086C" wp14:editId="039DD4D4">
            <wp:extent cx="5670550" cy="3498352"/>
            <wp:effectExtent l="0" t="0" r="0" b="0"/>
            <wp:docPr id="38" name="Picture" descr="Figure 2: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39" name="Picture" descr="../illustrations/S1_complete.png"/>
                    <pic:cNvPicPr>
                      <a:picLocks noChangeAspect="1" noChangeArrowheads="1"/>
                    </pic:cNvPicPr>
                  </pic:nvPicPr>
                  <pic:blipFill>
                    <a:blip r:embed="rId14"/>
                    <a:stretch>
                      <a:fillRect/>
                    </a:stretch>
                  </pic:blipFill>
                  <pic:spPr bwMode="auto">
                    <a:xfrm>
                      <a:off x="0" y="0"/>
                      <a:ext cx="5670550" cy="3498352"/>
                    </a:xfrm>
                    <a:prstGeom prst="rect">
                      <a:avLst/>
                    </a:prstGeom>
                    <a:noFill/>
                    <a:ln w="9525">
                      <a:noFill/>
                      <a:headEnd/>
                      <a:tailEnd/>
                    </a:ln>
                  </pic:spPr>
                </pic:pic>
              </a:graphicData>
            </a:graphic>
          </wp:inline>
        </w:drawing>
      </w:r>
    </w:p>
    <w:p w14:paraId="5ED4A16B" w14:textId="77777777" w:rsidR="005D4CD1" w:rsidRDefault="00000000" w:rsidP="00671125">
      <w:pPr>
        <w:pStyle w:val="ImageCaption"/>
        <w:jc w:val="both"/>
      </w:pPr>
      <w:bookmarkStart w:id="329" w:name="fig:plot-study1"/>
      <w:bookmarkEnd w:id="329"/>
      <w:r>
        <w:rPr>
          <w:i/>
          <w:iCs/>
        </w:rPr>
        <w:t>Figure</w:t>
      </w:r>
      <w:r>
        <w:t xml:space="preserve"> 2. </w:t>
      </w:r>
      <w:r>
        <w:rPr>
          <w:i/>
          <w:iCs/>
        </w:rPr>
        <w:t>Stimuli and Developmental Trajectories for Study 1.</w:t>
      </w:r>
      <w:r>
        <w:t xml:space="preserve"> Panels illustrate (A) an example stimulus combination (distractor, cue, target), (B) all items of the respective conditions and (C) results. </w:t>
      </w:r>
      <w:proofErr w:type="spellStart"/>
      <w:r>
        <w:t>Coloured</w:t>
      </w:r>
      <w:proofErr w:type="spellEnd"/>
      <w:r>
        <w:t xml:space="preserve"> lines indicate smoothed mean performance by age. Shaded areas represent 95% CIs. The dashed line demarcates chance level and the dots represent individual means. The colored dots and annotation indicate when children’s performance exceeds chance level.</w:t>
      </w:r>
    </w:p>
    <w:p w14:paraId="1E4168B4" w14:textId="77777777" w:rsidR="005D4CD1" w:rsidRDefault="00000000" w:rsidP="00671125">
      <w:pPr>
        <w:pStyle w:val="berschrift2"/>
        <w:jc w:val="both"/>
      </w:pPr>
      <w:bookmarkStart w:id="330" w:name="discussion"/>
      <w:bookmarkEnd w:id="323"/>
      <w:r>
        <w:t>Discussion</w:t>
      </w:r>
    </w:p>
    <w:p w14:paraId="4E5A8B45" w14:textId="77777777" w:rsidR="005D4CD1" w:rsidRDefault="00000000" w:rsidP="00671125">
      <w:pPr>
        <w:pStyle w:val="FirstParagraph"/>
        <w:jc w:val="both"/>
      </w:pPr>
      <w:r>
        <w:t xml:space="preserve">Children perform above chance in the </w:t>
      </w:r>
      <w:r>
        <w:rPr>
          <w:i/>
          <w:iCs/>
        </w:rPr>
        <w:t>Representation</w:t>
      </w:r>
      <w:r>
        <w:t xml:space="preserve"> condition at least as early as 36 months, which is the lower limit of the age-range. Based on the literature, it is reasonable to assume that also in our setup, children would be able to solve the task at hand between the second and third birthday (Callaghan, 1999, 2000; DeLoache &amp; Marzolf, 1992). </w:t>
      </w:r>
      <w:del w:id="331" w:author="Revision" w:date="2026-04-24T11:50:00Z" w16du:dateUtc="2026-04-24T09:50:00Z">
        <w:r>
          <w:delText xml:space="preserve">In the context of all other conditions reported below, </w:delText>
        </w:r>
      </w:del>
      <w:r>
        <w:t>This result establishes that the task design and setup are sufficiently clear even for the youngest children in the sample</w:t>
      </w:r>
      <w:del w:id="332" w:author="Revision" w:date="2026-04-24T11:50:00Z" w16du:dateUtc="2026-04-24T09:50:00Z">
        <w:r>
          <w:delText xml:space="preserve"> and worked well across the wide </w:delText>
        </w:r>
        <w:r>
          <w:lastRenderedPageBreak/>
          <w:delText xml:space="preserve">age-range of four years from the end of toddlerhood up into school age. </w:delText>
        </w:r>
        <w:r>
          <w:rPr>
            <w:i/>
            <w:iCs/>
          </w:rPr>
          <w:delText>Representation</w:delText>
        </w:r>
        <w:r>
          <w:delText xml:space="preserve">, thus, provides a robust and clear conceptual canvass against which the developmental patterns of all other symbol-referent relationships can be discussed. Despite using identical targets as in </w:delText>
        </w:r>
        <w:r>
          <w:rPr>
            <w:i/>
            <w:iCs/>
          </w:rPr>
          <w:delText>Representation,</w:delText>
        </w:r>
      </w:del>
      <w:ins w:id="333" w:author="Revision" w:date="2026-04-24T11:50:00Z" w16du:dateUtc="2026-04-24T09:50:00Z">
        <w:r>
          <w:t>.</w:t>
        </w:r>
      </w:ins>
      <w:r>
        <w:t xml:space="preserve"> Children succeed only at 38 months in </w:t>
      </w:r>
      <w:r>
        <w:rPr>
          <w:i/>
          <w:iCs/>
        </w:rPr>
        <w:t>Pars Pro Toto</w:t>
      </w:r>
      <w:r>
        <w:t xml:space="preserve">. The interaction with age shows that performance improves more quickly with age and that the area covered by the upper and lower </w:t>
      </w:r>
      <w:proofErr w:type="spellStart"/>
      <w:r>
        <w:t>CrI</w:t>
      </w:r>
      <w:proofErr w:type="spellEnd"/>
      <w:r>
        <w:t xml:space="preserve"> bounds shrinks considerably across the age range. </w:t>
      </w:r>
      <w:del w:id="334" w:author="Revision" w:date="2026-04-24T11:50:00Z" w16du:dateUtc="2026-04-24T09:50:00Z">
        <w:r>
          <w:rPr>
            <w:i/>
            <w:iCs/>
          </w:rPr>
          <w:delText>Pars Pro Toto</w:delText>
        </w:r>
        <w:r>
          <w:delText xml:space="preserve">, hence, stands out as a clear example for a task that children come to master early and within the age-range tested here, that generally is not demanding for preschoolers in general. </w:delText>
        </w:r>
      </w:del>
      <w:r>
        <w:t xml:space="preserve">In the more abstract conditions </w:t>
      </w:r>
      <w:r>
        <w:rPr>
          <w:i/>
          <w:iCs/>
        </w:rPr>
        <w:t>Simple Form Analogy</w:t>
      </w:r>
      <w:r>
        <w:t xml:space="preserve"> and </w:t>
      </w:r>
      <w:r>
        <w:rPr>
          <w:i/>
          <w:iCs/>
        </w:rPr>
        <w:t>Complex Form Analogy</w:t>
      </w:r>
      <w:r>
        <w:t xml:space="preserve">, preschoolers meet criterion at 47 and 50 months respectively. </w:t>
      </w:r>
      <w:del w:id="335" w:author="Revision" w:date="2026-04-24T11:50:00Z" w16du:dateUtc="2026-04-24T09:50:00Z">
        <w:r>
          <w:delText>Both appear equally difficult for participants and provide examples for symbol-referent relationships that remain demanding for the oldest children in the sample. They</w:delText>
        </w:r>
      </w:del>
      <w:ins w:id="336" w:author="Revision" w:date="2026-04-24T11:50:00Z" w16du:dateUtc="2026-04-24T09:50:00Z">
        <w:r>
          <w:t>While both</w:t>
        </w:r>
      </w:ins>
      <w:r>
        <w:t xml:space="preserve"> are </w:t>
      </w:r>
      <w:ins w:id="337" w:author="Revision" w:date="2026-04-24T11:50:00Z" w16du:dateUtc="2026-04-24T09:50:00Z">
        <w:r>
          <w:t xml:space="preserve">still </w:t>
        </w:r>
      </w:ins>
      <w:r>
        <w:t xml:space="preserve">based in </w:t>
      </w:r>
      <w:del w:id="338" w:author="Revision" w:date="2026-04-24T11:50:00Z" w16du:dateUtc="2026-04-24T09:50:00Z">
        <w:r>
          <w:delText>visual similarity, but</w:delText>
        </w:r>
      </w:del>
      <w:ins w:id="339" w:author="Revision" w:date="2026-04-24T11:50:00Z" w16du:dateUtc="2026-04-24T09:50:00Z">
        <w:r>
          <w:t>iconicity, in so far as their interpretation involves a sense of resemblance with regard to their shape (Winter, Woodin, &amp; Perlman, 2026), they</w:t>
        </w:r>
      </w:ins>
      <w:r>
        <w:t xml:space="preserve"> are conceptually demanding at the same time. With regard to the influence of surface features, group level success occurs slightly earlier with the reduced cues employed in </w:t>
      </w:r>
      <w:r>
        <w:rPr>
          <w:i/>
          <w:iCs/>
        </w:rPr>
        <w:t>Simple Form Analogy</w:t>
      </w:r>
      <w:r>
        <w:t xml:space="preserve"> (Richland, Morrison, &amp; Holyoak, 2006). Finally, the results are perfectly in line with the hypothesized developmental succession of group level success coming to pass first with </w:t>
      </w:r>
      <w:r>
        <w:rPr>
          <w:i/>
          <w:iCs/>
        </w:rPr>
        <w:t>Representation</w:t>
      </w:r>
      <w:r>
        <w:t xml:space="preserve">, then </w:t>
      </w:r>
      <w:r>
        <w:rPr>
          <w:i/>
          <w:iCs/>
        </w:rPr>
        <w:t>Pars Pro Toto</w:t>
      </w:r>
      <w:r>
        <w:t xml:space="preserve">, </w:t>
      </w:r>
      <w:r>
        <w:rPr>
          <w:i/>
          <w:iCs/>
        </w:rPr>
        <w:t>Simple Form Analogy</w:t>
      </w:r>
      <w:r>
        <w:t xml:space="preserve"> and </w:t>
      </w:r>
      <w:r>
        <w:rPr>
          <w:i/>
          <w:iCs/>
        </w:rPr>
        <w:t>Complex Form Analogy</w:t>
      </w:r>
      <w:r>
        <w:t>.</w:t>
      </w:r>
    </w:p>
    <w:p w14:paraId="029DB3A8" w14:textId="77777777" w:rsidR="005D4CD1" w:rsidRDefault="00000000">
      <w:pPr>
        <w:pStyle w:val="berschrift1"/>
      </w:pPr>
      <w:bookmarkStart w:id="340" w:name="study-2"/>
      <w:bookmarkEnd w:id="297"/>
      <w:bookmarkEnd w:id="330"/>
      <w:r>
        <w:t>Study 2</w:t>
      </w:r>
    </w:p>
    <w:p w14:paraId="7701E27C" w14:textId="77777777" w:rsidR="005D4CD1" w:rsidRDefault="00000000" w:rsidP="00671125">
      <w:pPr>
        <w:pStyle w:val="FirstParagraph"/>
        <w:jc w:val="both"/>
      </w:pPr>
      <w:r>
        <w:t xml:space="preserve">The conditions in study 2 continue to abstract from a representational symbol-referent relationship by using different shapes for both cue and target stimuli. The conditions here, draw on gestalt-principles like figure-ground-relationship, continuity and parallelism. The symbol-referent-relationship in </w:t>
      </w:r>
      <w:r>
        <w:rPr>
          <w:i/>
          <w:iCs/>
        </w:rPr>
        <w:t>Absolute Position</w:t>
      </w:r>
      <w:r>
        <w:t xml:space="preserve"> is established by the respective cue and target sharing </w:t>
      </w:r>
      <w:r>
        <w:lastRenderedPageBreak/>
        <w:t xml:space="preserve">the same position with regard to the reference frame they occur in. In </w:t>
      </w:r>
      <w:r>
        <w:rPr>
          <w:i/>
          <w:iCs/>
        </w:rPr>
        <w:t>Relative Position</w:t>
      </w:r>
      <w:r>
        <w:t xml:space="preserve"> cue and target are each composed of two shapes. Reference is established by the respective shapes being closer or further apart or sharing a position on a horizontal or vertical axis. For </w:t>
      </w:r>
      <w:r>
        <w:rPr>
          <w:i/>
          <w:iCs/>
        </w:rPr>
        <w:t>Orientation of Object</w:t>
      </w:r>
      <w:r>
        <w:t xml:space="preserve">, symbol and cue are aligned along the same axis. The final condition, </w:t>
      </w:r>
      <w:r>
        <w:rPr>
          <w:i/>
          <w:iCs/>
        </w:rPr>
        <w:t>Orientation of Feature</w:t>
      </w:r>
      <w:r>
        <w:t xml:space="preserve"> employs cue and target shapes with a salient feature that is either oriented up- or downward. </w:t>
      </w:r>
      <w:del w:id="341" w:author="Revision" w:date="2026-04-24T11:50:00Z" w16du:dateUtc="2026-04-24T09:50:00Z">
        <w:r>
          <w:delText>The</w:delText>
        </w:r>
      </w:del>
      <w:ins w:id="342" w:author="Revision" w:date="2026-04-24T11:50:00Z" w16du:dateUtc="2026-04-24T09:50:00Z">
        <w:r>
          <w:t xml:space="preserve">Because processing whole objects is generally less demanding than isolating constituent features, and because the position conditions require coordinating relations between objects or reference frames (Gentner &amp; Hoyos, 2017; Halford, Wilson, &amp; Phillips, 1998; </w:t>
        </w:r>
        <w:proofErr w:type="spellStart"/>
        <w:r>
          <w:t>Rattermann</w:t>
        </w:r>
        <w:proofErr w:type="spellEnd"/>
        <w:r>
          <w:t xml:space="preserve"> &amp; Gentner, 1998; Richland et al., 2006), our</w:t>
        </w:r>
      </w:ins>
      <w:r>
        <w:t xml:space="preserve"> preregistered hypothesis</w:t>
      </w:r>
      <w:del w:id="343" w:author="Revision" w:date="2026-04-24T11:50:00Z" w16du:dateUtc="2026-04-24T09:50:00Z">
        <w:r>
          <w:delText>, assumed children to perform above chance</w:delText>
        </w:r>
      </w:del>
      <w:ins w:id="344" w:author="Revision" w:date="2026-04-24T11:50:00Z" w16du:dateUtc="2026-04-24T09:50:00Z">
        <w:r>
          <w:t xml:space="preserve"> predicted a developmental hierarchy with success</w:t>
        </w:r>
      </w:ins>
      <w:r>
        <w:t xml:space="preserve"> first in </w:t>
      </w:r>
      <w:r>
        <w:rPr>
          <w:i/>
          <w:iCs/>
        </w:rPr>
        <w:t>Orientation of Object</w:t>
      </w:r>
      <w:r>
        <w:t xml:space="preserve">, </w:t>
      </w:r>
      <w:del w:id="345" w:author="Revision" w:date="2026-04-24T11:50:00Z" w16du:dateUtc="2026-04-24T09:50:00Z">
        <w:r>
          <w:delText>then</w:delText>
        </w:r>
      </w:del>
      <w:ins w:id="346" w:author="Revision" w:date="2026-04-24T11:50:00Z" w16du:dateUtc="2026-04-24T09:50:00Z">
        <w:r>
          <w:t>followed by</w:t>
        </w:r>
      </w:ins>
      <w:r>
        <w:t xml:space="preserve"> </w:t>
      </w:r>
      <w:r>
        <w:rPr>
          <w:i/>
          <w:iCs/>
        </w:rPr>
        <w:t>Orientation of Feature</w:t>
      </w:r>
      <w:r>
        <w:t xml:space="preserve">, </w:t>
      </w:r>
      <w:r>
        <w:rPr>
          <w:i/>
          <w:iCs/>
        </w:rPr>
        <w:t>Absolute Position</w:t>
      </w:r>
      <w:ins w:id="347" w:author="Revision" w:date="2026-04-24T11:50:00Z" w16du:dateUtc="2026-04-24T09:50:00Z">
        <w:r>
          <w:t>,</w:t>
        </w:r>
      </w:ins>
      <w:r>
        <w:t xml:space="preserve"> and finally </w:t>
      </w:r>
      <w:r>
        <w:rPr>
          <w:i/>
          <w:iCs/>
        </w:rPr>
        <w:t>Relative Position</w:t>
      </w:r>
      <w:r>
        <w:t>.</w:t>
      </w:r>
    </w:p>
    <w:p w14:paraId="1E5AA091" w14:textId="77777777" w:rsidR="005D4CD1" w:rsidRDefault="00000000" w:rsidP="00671125">
      <w:pPr>
        <w:pStyle w:val="berschrift2"/>
        <w:jc w:val="both"/>
      </w:pPr>
      <w:bookmarkStart w:id="348" w:name="stimuli-1"/>
      <w:r>
        <w:t>Stimuli</w:t>
      </w:r>
    </w:p>
    <w:p w14:paraId="15CEAC47" w14:textId="77777777" w:rsidR="005D4CD1" w:rsidRDefault="00000000" w:rsidP="00671125">
      <w:pPr>
        <w:pStyle w:val="FirstParagraph"/>
        <w:jc w:val="both"/>
      </w:pPr>
      <w:r>
        <w:t xml:space="preserve">For comparability, </w:t>
      </w:r>
      <w:r>
        <w:rPr>
          <w:i/>
          <w:iCs/>
        </w:rPr>
        <w:t>Absolute Position</w:t>
      </w:r>
      <w:r>
        <w:t xml:space="preserve"> and </w:t>
      </w:r>
      <w:r>
        <w:rPr>
          <w:i/>
          <w:iCs/>
        </w:rPr>
        <w:t>Relative Position</w:t>
      </w:r>
      <w:r>
        <w:t xml:space="preserve"> employed the same distinct shapes as cue and target respectively (circle vs. square, cross). In </w:t>
      </w:r>
      <w:r>
        <w:rPr>
          <w:i/>
          <w:iCs/>
        </w:rPr>
        <w:t>Absolute Position</w:t>
      </w:r>
      <w:r>
        <w:t xml:space="preserve"> target positions were placed in top and bottom, or central and peripheral conditions in half of trails. For </w:t>
      </w:r>
      <w:r>
        <w:rPr>
          <w:i/>
          <w:iCs/>
        </w:rPr>
        <w:t>Relative Position</w:t>
      </w:r>
      <w:r>
        <w:t xml:space="preserve">, two trials present target stimuli that are closer together or further apart, as well as another two trials with target components being aligned on a horizontal or vertical axis. To ensure that cue and target are maximally distinct in all dimensions, cues and target items do not </w:t>
      </w:r>
      <w:del w:id="349" w:author="Revision" w:date="2026-04-24T11:50:00Z" w16du:dateUtc="2026-04-24T09:50:00Z">
        <w:r>
          <w:delText>allign</w:delText>
        </w:r>
      </w:del>
      <w:ins w:id="350" w:author="Revision" w:date="2026-04-24T11:50:00Z" w16du:dateUtc="2026-04-24T09:50:00Z">
        <w:r>
          <w:t>align</w:t>
        </w:r>
      </w:ins>
      <w:r>
        <w:t xml:space="preserve"> on the same axis.</w:t>
      </w:r>
      <w:del w:id="351" w:author="Revision" w:date="2026-04-24T11:50:00Z" w16du:dateUtc="2026-04-24T09:50:00Z">
        <w:r>
          <w:delText xml:space="preserve"> As in study 1, cues and targets are either round and rectangular shapes in these conditions.</w:delText>
        </w:r>
      </w:del>
      <w:r>
        <w:t xml:space="preserve"> To convey a sense of direction in </w:t>
      </w:r>
      <w:r>
        <w:rPr>
          <w:i/>
          <w:iCs/>
        </w:rPr>
        <w:t>Orientation of Object,</w:t>
      </w:r>
      <w:r>
        <w:t xml:space="preserve"> cues and targets feature elongated shapes that are aligned either on a horizontal, vertical, or diagonal axis with rising or falling slope. The shapes are distinct oblong </w:t>
      </w:r>
      <w:del w:id="352" w:author="Revision" w:date="2026-04-24T11:50:00Z" w16du:dateUtc="2026-04-24T09:50:00Z">
        <w:r>
          <w:delText>elipses</w:delText>
        </w:r>
      </w:del>
      <w:ins w:id="353" w:author="Revision" w:date="2026-04-24T11:50:00Z" w16du:dateUtc="2026-04-24T09:50:00Z">
        <w:r>
          <w:t>ellipses</w:t>
        </w:r>
      </w:ins>
      <w:r>
        <w:t xml:space="preserve"> and rectangles or </w:t>
      </w:r>
      <w:r>
        <w:lastRenderedPageBreak/>
        <w:t xml:space="preserve">abstract shapes with more or less round or square features. For </w:t>
      </w:r>
      <w:r>
        <w:rPr>
          <w:i/>
          <w:iCs/>
        </w:rPr>
        <w:t>Orientation of Feature</w:t>
      </w:r>
      <w:r>
        <w:t xml:space="preserve">, targets and cues are either circles or squares with a salient feature like an opening or a dent. For an overview of all stimuli </w:t>
      </w:r>
      <w:del w:id="354" w:author="Revision" w:date="2026-04-24T11:50:00Z" w16du:dateUtc="2026-04-24T09:50:00Z">
        <w:r>
          <w:delText>per condition</w:delText>
        </w:r>
      </w:del>
      <w:ins w:id="355" w:author="Revision" w:date="2026-04-24T11:50:00Z" w16du:dateUtc="2026-04-24T09:50:00Z">
        <w:r>
          <w:t>used</w:t>
        </w:r>
      </w:ins>
      <w:r>
        <w:t xml:space="preserve"> in Study 2, see figure 3.</w:t>
      </w:r>
    </w:p>
    <w:p w14:paraId="34B3CBDA" w14:textId="77777777" w:rsidR="005D4CD1" w:rsidRDefault="00000000" w:rsidP="00671125">
      <w:pPr>
        <w:pStyle w:val="berschrift2"/>
        <w:jc w:val="both"/>
      </w:pPr>
      <w:bookmarkStart w:id="356" w:name="participants-and-sample-1"/>
      <w:bookmarkEnd w:id="348"/>
      <w:r>
        <w:t>Participants and Sample</w:t>
      </w:r>
    </w:p>
    <w:p w14:paraId="70A03C8A" w14:textId="77777777" w:rsidR="005D4CD1" w:rsidRDefault="00000000" w:rsidP="00671125">
      <w:pPr>
        <w:pStyle w:val="FirstParagraph"/>
        <w:jc w:val="both"/>
      </w:pPr>
      <w:r>
        <w:t>A total of 99 three- to seven-year-old children (M = 60.04 months, SD = 13.69 months, range 36 - 83 months; 49 female) participated.</w:t>
      </w:r>
      <w:ins w:id="357" w:author="Revision" w:date="2026-04-24T11:50:00Z" w16du:dateUtc="2026-04-24T09:50:00Z">
        <w:r>
          <w:t xml:space="preserve"> None of these children participated in study 1.</w:t>
        </w:r>
      </w:ins>
      <w:r>
        <w:t xml:space="preserve"> In addition, a total of 13 children (6 female) were tested but excluded from analysis for failing familiarization (N = 9), being fussy (N = 1), not being fluent enough in German to follow the instructions (N = 1), or due to technical issues (N = 2). A total of 1561 trials (mean per condition = 390.25, range: 388 - 393) from 99 participants were submitted for analysis.</w:t>
      </w:r>
    </w:p>
    <w:p w14:paraId="4E3F6BE0" w14:textId="77777777" w:rsidR="005D4CD1" w:rsidRDefault="00000000" w:rsidP="00671125">
      <w:pPr>
        <w:pStyle w:val="berschrift2"/>
        <w:jc w:val="both"/>
      </w:pPr>
      <w:bookmarkStart w:id="358" w:name="results-1"/>
      <w:bookmarkEnd w:id="356"/>
      <w:r>
        <w:t>Results</w:t>
      </w:r>
    </w:p>
    <w:p w14:paraId="721A4005" w14:textId="77777777" w:rsidR="005D4CD1" w:rsidRDefault="00000000" w:rsidP="00671125">
      <w:pPr>
        <w:pStyle w:val="FirstParagraph"/>
        <w:jc w:val="both"/>
      </w:pPr>
      <w:r>
        <w:t xml:space="preserve">For both full and null model, PPCs indicate excellent fit of observed data and model predictions. </w:t>
      </w:r>
      <w:proofErr w:type="spellStart"/>
      <w:r>
        <w:t>Rhat</w:t>
      </w:r>
      <w:proofErr w:type="spellEnd"/>
      <w:r>
        <w:t xml:space="preserve"> values in both models were equal to one, indicating convergence across all chains. Effective sample sizes for all fixed effects in the full model (Bulk ESS, mean = 6149, range 3485 - 7545) and the null model (Bulk ESS, mean = 6877, range 3839 - 10040) were &gt; 1000, indicating reliable posterior estimations.</w:t>
      </w:r>
    </w:p>
    <w:p w14:paraId="7417033D" w14:textId="77777777" w:rsidR="005D4CD1" w:rsidRDefault="00000000" w:rsidP="00671125">
      <w:pPr>
        <w:pStyle w:val="Textkrper"/>
        <w:jc w:val="both"/>
      </w:pPr>
      <w:r>
        <w:t>To compare model performance, we evaluated the WAIC estimates. The null model showed a slightly better predictive performance (ELPD = -888.15) compared to the full model (ELPD = -889.99). WAIC values also indicate better performance of the null model (WAIC = 1,776.30) over the full model (WAIC = 1,779.99). However, the difference between models (ELPD Diff = -1.84) falls within the bounds of uncertainty (SE = 1.76), suggesting no advantage in predictive accuracy. Hence, the preregistered analyses using the full model is reported below.</w:t>
      </w:r>
    </w:p>
    <w:p w14:paraId="197BCAEB" w14:textId="77777777" w:rsidR="005D4CD1" w:rsidRDefault="00000000" w:rsidP="00671125">
      <w:pPr>
        <w:pStyle w:val="CaptionedFigure"/>
        <w:framePr w:wrap="notBeside"/>
        <w:jc w:val="both"/>
        <w:rPr>
          <w:ins w:id="359" w:author="Revision" w:date="2026-04-24T11:50:00Z" w16du:dateUtc="2026-04-24T09:50:00Z"/>
        </w:rPr>
      </w:pPr>
      <w:ins w:id="360" w:author="Revision" w:date="2026-04-24T11:50:00Z" w16du:dateUtc="2026-04-24T09:50:00Z">
        <w:r>
          <w:rPr>
            <w:noProof/>
          </w:rPr>
          <w:lastRenderedPageBreak/>
          <w:drawing>
            <wp:inline distT="0" distB="0" distL="0" distR="0" wp14:anchorId="58FA8854" wp14:editId="1E4CEB04">
              <wp:extent cx="5670550" cy="3498352"/>
              <wp:effectExtent l="0" t="0" r="0" b="0"/>
              <wp:docPr id="47" name="Picture" descr="Figure 3: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48" name="Picture" descr="../illustrations/S2_complete.png"/>
                      <pic:cNvPicPr>
                        <a:picLocks noChangeAspect="1" noChangeArrowheads="1"/>
                      </pic:cNvPicPr>
                    </pic:nvPicPr>
                    <pic:blipFill>
                      <a:blip r:embed="rId15"/>
                      <a:stretch>
                        <a:fillRect/>
                      </a:stretch>
                    </pic:blipFill>
                    <pic:spPr bwMode="auto">
                      <a:xfrm>
                        <a:off x="0" y="0"/>
                        <a:ext cx="5670550" cy="3498352"/>
                      </a:xfrm>
                      <a:prstGeom prst="rect">
                        <a:avLst/>
                      </a:prstGeom>
                      <a:noFill/>
                      <a:ln w="9525">
                        <a:noFill/>
                        <a:headEnd/>
                        <a:tailEnd/>
                      </a:ln>
                    </pic:spPr>
                  </pic:pic>
                </a:graphicData>
              </a:graphic>
            </wp:inline>
          </w:drawing>
        </w:r>
      </w:ins>
    </w:p>
    <w:p w14:paraId="3D245012" w14:textId="77777777" w:rsidR="005D4CD1" w:rsidRDefault="00000000" w:rsidP="00671125">
      <w:pPr>
        <w:pStyle w:val="ImageCaption"/>
        <w:jc w:val="both"/>
      </w:pPr>
      <w:bookmarkStart w:id="361" w:name="fig:plot-study2"/>
      <w:bookmarkEnd w:id="361"/>
      <w:r>
        <w:rPr>
          <w:i/>
          <w:iCs/>
        </w:rPr>
        <w:t>Figure</w:t>
      </w:r>
      <w:r>
        <w:t xml:space="preserve"> 3. </w:t>
      </w:r>
      <w:r>
        <w:rPr>
          <w:i/>
          <w:iCs/>
        </w:rPr>
        <w:t>Stimuli and Developmental Trajectories for Study 1.</w:t>
      </w:r>
      <w:r>
        <w:t xml:space="preserve"> Panels illustrate (A) an example stimulus combination (distractor, cue, target), (B) all items of the respective conditions and (C) results. </w:t>
      </w:r>
      <w:proofErr w:type="spellStart"/>
      <w:r>
        <w:t>Coloured</w:t>
      </w:r>
      <w:proofErr w:type="spellEnd"/>
      <w:r>
        <w:t xml:space="preserve"> lines indicate smoothed mean performance by age. Shaded areas represent 95% CIs. The dashed line demarcates chance level and the dots represent individual means. The colored dots and annotation indicate when children’s performance exceeds chance level.</w:t>
      </w:r>
    </w:p>
    <w:p w14:paraId="330B2F66" w14:textId="77777777" w:rsidR="004418C3" w:rsidRDefault="004418C3" w:rsidP="004418C3">
      <w:pPr>
        <w:pStyle w:val="Textkrper"/>
        <w:jc w:val="both"/>
      </w:pPr>
      <w:r>
        <w:t>Across all conditions, performance improved with both age (</w:t>
      </w:r>
      <m:oMath>
        <m:r>
          <w:rPr>
            <w:rFonts w:ascii="Cambria Math" w:hAnsi="Cambria Math"/>
          </w:rPr>
          <m:t>β</m:t>
        </m:r>
      </m:oMath>
      <w:r>
        <w:t xml:space="preserve"> = 0.40, 95% CrI [0.14, 0.68]) and slightly with trial number (</w:t>
      </w:r>
      <m:oMath>
        <m:r>
          <w:rPr>
            <w:rFonts w:ascii="Cambria Math" w:hAnsi="Cambria Math"/>
          </w:rPr>
          <m:t>β</m:t>
        </m:r>
      </m:oMath>
      <w:r>
        <w:t xml:space="preserve"> = 0.26, 95% CrI [0.10, 0.43]). Relative to </w:t>
      </w:r>
      <w:r>
        <w:rPr>
          <w:i/>
          <w:iCs/>
        </w:rPr>
        <w:t>Absolute Position</w:t>
      </w:r>
      <w:r>
        <w:t xml:space="preserve">, children were generally less likely to correctly solve </w:t>
      </w:r>
      <w:r>
        <w:rPr>
          <w:i/>
          <w:iCs/>
        </w:rPr>
        <w:t>Relative Position</w:t>
      </w:r>
      <w:r>
        <w:t xml:space="preserve"> (</w:t>
      </w:r>
      <m:oMath>
        <m:r>
          <w:rPr>
            <w:rFonts w:ascii="Cambria Math" w:hAnsi="Cambria Math"/>
          </w:rPr>
          <m:t>β</m:t>
        </m:r>
      </m:oMath>
      <w:r>
        <w:t xml:space="preserve"> = -0.28, 95% CrI [-0.64, 0.08]). Performance in </w:t>
      </w:r>
      <w:r>
        <w:rPr>
          <w:i/>
          <w:iCs/>
        </w:rPr>
        <w:t>Orientation of Object</w:t>
      </w:r>
      <w:r>
        <w:t xml:space="preserve"> (</w:t>
      </w:r>
      <m:oMath>
        <m:r>
          <w:rPr>
            <w:rFonts w:ascii="Cambria Math" w:hAnsi="Cambria Math"/>
          </w:rPr>
          <m:t>β</m:t>
        </m:r>
      </m:oMath>
      <w:r>
        <w:t xml:space="preserve"> = -0.10, 95% CrI [-0.46, 0.27]) and </w:t>
      </w:r>
      <w:r>
        <w:rPr>
          <w:i/>
          <w:iCs/>
        </w:rPr>
        <w:t>Orientation of Feature</w:t>
      </w:r>
      <w:r>
        <w:t xml:space="preserve"> (</w:t>
      </w:r>
      <m:oMath>
        <m:r>
          <w:rPr>
            <w:rFonts w:ascii="Cambria Math" w:hAnsi="Cambria Math"/>
          </w:rPr>
          <m:t>β</m:t>
        </m:r>
      </m:oMath>
      <w:r>
        <w:t xml:space="preserve"> = -0.12, 95% CrI [-0.48, 0.23]) was not substantially different from the reference category </w:t>
      </w:r>
      <w:ins w:id="362" w:author="Revision" w:date="2026-04-24T11:50:00Z" w16du:dateUtc="2026-04-24T09:50:00Z">
        <w:r>
          <w:rPr>
            <w:i/>
            <w:iCs/>
          </w:rPr>
          <w:t>Absolute Position</w:t>
        </w:r>
        <w:r>
          <w:t xml:space="preserve"> </w:t>
        </w:r>
      </w:ins>
      <w:r>
        <w:t xml:space="preserve">when considering the full age range. Interaction terms between age and condition were not credibly different from zero, suggesting similar </w:t>
      </w:r>
      <w:r>
        <w:lastRenderedPageBreak/>
        <w:t>developmental patterns for all conditions. For a side-by-side comparison of the developmental trajectories</w:t>
      </w:r>
      <w:ins w:id="363" w:author="Revision" w:date="2026-04-24T11:50:00Z" w16du:dateUtc="2026-04-24T09:50:00Z">
        <w:r>
          <w:t xml:space="preserve"> and the respective ages of group-level success</w:t>
        </w:r>
      </w:ins>
      <w:r>
        <w:t>, see figure 3.</w:t>
      </w:r>
    </w:p>
    <w:p w14:paraId="35208CF2" w14:textId="77777777" w:rsidR="005D4CD1" w:rsidRDefault="00000000" w:rsidP="00671125">
      <w:pPr>
        <w:pStyle w:val="berschrift2"/>
        <w:jc w:val="both"/>
      </w:pPr>
      <w:bookmarkStart w:id="364" w:name="discussion-1"/>
      <w:bookmarkEnd w:id="358"/>
      <w:r>
        <w:t>Discussion</w:t>
      </w:r>
    </w:p>
    <w:p w14:paraId="3CCBE18D" w14:textId="77777777" w:rsidR="005D4CD1" w:rsidRDefault="00000000" w:rsidP="00671125">
      <w:pPr>
        <w:pStyle w:val="FirstParagraph"/>
        <w:jc w:val="both"/>
      </w:pPr>
      <w:r>
        <w:t xml:space="preserve">Analyses established that children master the condition </w:t>
      </w:r>
      <w:r>
        <w:rPr>
          <w:i/>
          <w:iCs/>
        </w:rPr>
        <w:t>Absolute Position</w:t>
      </w:r>
      <w:r>
        <w:t xml:space="preserve"> at 45 months, making it the easiest task in study 2. Then in quick succession, children succeed in </w:t>
      </w:r>
      <w:r>
        <w:rPr>
          <w:i/>
          <w:iCs/>
        </w:rPr>
        <w:t>Orientation of Feature</w:t>
      </w:r>
      <w:r>
        <w:t xml:space="preserve"> at 46 months, </w:t>
      </w:r>
      <w:r>
        <w:rPr>
          <w:i/>
          <w:iCs/>
        </w:rPr>
        <w:t>Relative Position</w:t>
      </w:r>
      <w:r>
        <w:t xml:space="preserve"> at 49 months and </w:t>
      </w:r>
      <w:r>
        <w:rPr>
          <w:i/>
          <w:iCs/>
        </w:rPr>
        <w:t>Orientation of Object</w:t>
      </w:r>
      <w:r>
        <w:t xml:space="preserve"> at 50 months. </w:t>
      </w:r>
      <w:del w:id="365" w:author="Revision" w:date="2026-04-24T11:50:00Z" w16du:dateUtc="2026-04-24T09:50:00Z">
        <w:r>
          <w:delText>We hypothesized</w:delText>
        </w:r>
      </w:del>
      <w:ins w:id="366" w:author="Revision" w:date="2026-04-24T11:50:00Z" w16du:dateUtc="2026-04-24T09:50:00Z">
        <w:r>
          <w:t>Results confirm the hypothesis</w:t>
        </w:r>
      </w:ins>
      <w:r>
        <w:t xml:space="preserve"> that children as a group would </w:t>
      </w:r>
      <w:del w:id="367" w:author="Revision" w:date="2026-04-24T11:50:00Z" w16du:dateUtc="2026-04-24T09:50:00Z">
        <w:r>
          <w:delText>perform above chance</w:delText>
        </w:r>
      </w:del>
      <w:ins w:id="368" w:author="Revision" w:date="2026-04-24T11:50:00Z" w16du:dateUtc="2026-04-24T09:50:00Z">
        <w:r>
          <w:t>succeed</w:t>
        </w:r>
      </w:ins>
      <w:r>
        <w:t xml:space="preserve"> earlier </w:t>
      </w:r>
      <w:del w:id="369" w:author="Revision" w:date="2026-04-24T11:50:00Z" w16du:dateUtc="2026-04-24T09:50:00Z">
        <w:r>
          <w:delText>with</w:delText>
        </w:r>
      </w:del>
      <w:ins w:id="370" w:author="Revision" w:date="2026-04-24T11:50:00Z" w16du:dateUtc="2026-04-24T09:50:00Z">
        <w:r>
          <w:t>in</w:t>
        </w:r>
      </w:ins>
      <w:r>
        <w:t xml:space="preserve"> </w:t>
      </w:r>
      <w:r>
        <w:rPr>
          <w:i/>
          <w:iCs/>
        </w:rPr>
        <w:t>Absolute Position</w:t>
      </w:r>
      <w:r>
        <w:t xml:space="preserve"> than </w:t>
      </w:r>
      <w:del w:id="371" w:author="Revision" w:date="2026-04-24T11:50:00Z" w16du:dateUtc="2026-04-24T09:50:00Z">
        <w:r>
          <w:delText>with</w:delText>
        </w:r>
      </w:del>
      <w:ins w:id="372" w:author="Revision" w:date="2026-04-24T11:50:00Z" w16du:dateUtc="2026-04-24T09:50:00Z">
        <w:r>
          <w:t>in</w:t>
        </w:r>
      </w:ins>
      <w:r>
        <w:t xml:space="preserve"> </w:t>
      </w:r>
      <w:r>
        <w:rPr>
          <w:i/>
          <w:iCs/>
        </w:rPr>
        <w:t>Relative Position</w:t>
      </w:r>
      <w:r>
        <w:t xml:space="preserve"> </w:t>
      </w:r>
      <w:del w:id="373" w:author="Revision" w:date="2026-04-24T11:50:00Z" w16du:dateUtc="2026-04-24T09:50:00Z">
        <w:r>
          <w:delText xml:space="preserve">due to the latter obviously requiring children to integrate a higher number of items. Results confirm this assumption </w:delText>
        </w:r>
      </w:del>
      <w:r>
        <w:t>with a clear 5-months offset</w:t>
      </w:r>
      <w:del w:id="374" w:author="Revision" w:date="2026-04-24T11:50:00Z" w16du:dateUtc="2026-04-24T09:50:00Z">
        <w:r>
          <w:delText xml:space="preserve"> in the age of success</w:delText>
        </w:r>
      </w:del>
      <w:r>
        <w:t xml:space="preserve">. We hypothesized further that children would succeed earlier with </w:t>
      </w:r>
      <w:r>
        <w:rPr>
          <w:i/>
          <w:iCs/>
        </w:rPr>
        <w:t>Orientation of Object</w:t>
      </w:r>
      <w:r>
        <w:t xml:space="preserve"> than </w:t>
      </w:r>
      <w:r>
        <w:rPr>
          <w:i/>
          <w:iCs/>
        </w:rPr>
        <w:t>Orientation of Feature</w:t>
      </w:r>
      <w:r>
        <w:t xml:space="preserve">, </w:t>
      </w:r>
      <w:del w:id="375" w:author="Revision" w:date="2026-04-24T11:50:00Z" w16du:dateUtc="2026-04-24T09:50:00Z">
        <w:r>
          <w:delText>due to the necessity of evaluating the composition of a target item rather than its general alignment with the cue. Here, we</w:delText>
        </w:r>
      </w:del>
      <w:ins w:id="376" w:author="Revision" w:date="2026-04-24T11:50:00Z" w16du:dateUtc="2026-04-24T09:50:00Z">
        <w:r>
          <w:t>but</w:t>
        </w:r>
      </w:ins>
      <w:r>
        <w:t xml:space="preserve"> find the opposite to be true. The impression of direction or congruence between cue and target appears to be much more salient for children in graphic stimuli with a salient feature pointing out such as in </w:t>
      </w:r>
      <w:r>
        <w:rPr>
          <w:i/>
          <w:iCs/>
        </w:rPr>
        <w:t>Orientation of Feature</w:t>
      </w:r>
      <w:r>
        <w:t>, than an overall alignment in the horizontal, vertical or diagonal orientation.</w:t>
      </w:r>
    </w:p>
    <w:p w14:paraId="7498BC8E" w14:textId="77777777" w:rsidR="005D4CD1" w:rsidRDefault="00000000">
      <w:pPr>
        <w:pStyle w:val="berschrift1"/>
      </w:pPr>
      <w:bookmarkStart w:id="377" w:name="study-3"/>
      <w:bookmarkEnd w:id="340"/>
      <w:bookmarkEnd w:id="364"/>
      <w:r>
        <w:t>Study 3</w:t>
      </w:r>
    </w:p>
    <w:p w14:paraId="228687BA" w14:textId="77777777" w:rsidR="005D4CD1" w:rsidRDefault="00000000" w:rsidP="00671125">
      <w:pPr>
        <w:pStyle w:val="FirstParagraph"/>
        <w:jc w:val="both"/>
      </w:pPr>
      <w:r>
        <w:t xml:space="preserve">The final study features symbol-referent relationships that are based on analogies in size or number without cues and targets sharing similarities in other visual aspects, and while avoiding to draw on conventions in graphic communication. In order to correctly interpret the symbol-referent relationships employed here, children need to </w:t>
      </w:r>
      <w:del w:id="378" w:author="Revision" w:date="2026-04-24T11:50:00Z" w16du:dateUtc="2026-04-24T09:50:00Z">
        <w:r>
          <w:delText>assign or extract</w:delText>
        </w:r>
      </w:del>
      <w:ins w:id="379" w:author="Revision" w:date="2026-04-24T11:50:00Z" w16du:dateUtc="2026-04-24T09:50:00Z">
        <w:r>
          <w:t>infer</w:t>
        </w:r>
      </w:ins>
      <w:r>
        <w:t xml:space="preserve"> conceptual order in graphical displays. Such processes can be fostered or obstructed by surface level features </w:t>
      </w:r>
      <w:r>
        <w:lastRenderedPageBreak/>
        <w:t xml:space="preserve">of the stimuli at hand which makes it harder to assess whether the age at which children master a task - our primary aim of investigation - depends more on the ability to generally form symbol-referent relationships from analogies or from children’s developing ability to process visual complexity. The two base conditions of study three are </w:t>
      </w:r>
      <w:r>
        <w:rPr>
          <w:i/>
          <w:iCs/>
        </w:rPr>
        <w:t>Size of Object</w:t>
      </w:r>
      <w:r>
        <w:t xml:space="preserve"> and </w:t>
      </w:r>
      <w:r>
        <w:rPr>
          <w:i/>
          <w:iCs/>
        </w:rPr>
        <w:t>Size of Number.</w:t>
      </w:r>
      <w:r>
        <w:t xml:space="preserve"> Here the cues refer to a target shape as a whole via an analogy in size or number. </w:t>
      </w:r>
      <w:ins w:id="380" w:author="Revision" w:date="2026-04-24T11:50:00Z" w16du:dateUtc="2026-04-24T09:50:00Z">
        <w:r>
          <w:t xml:space="preserve">As a continuous magnitude, size may be easier to grasp and compare for children than discrete concepts (Leibovich, Katzin, Harel, &amp; Henik, 2017). </w:t>
        </w:r>
      </w:ins>
      <w:r>
        <w:t xml:space="preserve">They are complemented by the conditions </w:t>
      </w:r>
      <w:r>
        <w:rPr>
          <w:i/>
          <w:iCs/>
        </w:rPr>
        <w:t>Size of Feature</w:t>
      </w:r>
      <w:r>
        <w:t xml:space="preserve"> and </w:t>
      </w:r>
      <w:r>
        <w:rPr>
          <w:i/>
          <w:iCs/>
        </w:rPr>
        <w:t>Number of Feature</w:t>
      </w:r>
      <w:r>
        <w:t xml:space="preserve"> in which the cues refer to a salient aspect of the target stimuli. In these cases, extracting conceptual information is arguably more demanding. </w:t>
      </w:r>
      <w:ins w:id="381" w:author="Revision" w:date="2026-04-24T11:50:00Z" w16du:dateUtc="2026-04-24T09:50:00Z">
        <w:r>
          <w:t xml:space="preserve">Children need to shift attention from a holistic apprehension to exploring specific aspects in isolation, which should make feature tasks more demanding (Callaghan, 1990; Diamond, Carlson, &amp; Beck, 2016; Shepp, Barrett, &amp; Kolbet, 1987). </w:t>
        </w:r>
      </w:ins>
      <w:r>
        <w:t>The overall performance across the ages as well as the relative offset in the age at which children solve a task based on symbol-referent relationships targeting objects or their features, can then serve to evaluate such surface-level effects across two different domains. Prior to data collection, we hypothesized that children will succeed earlier with symbol-referent relationships based in size than in number, and that children will succeed earlier when cues refer to a target object per se rather than a salient feature thereof.</w:t>
      </w:r>
    </w:p>
    <w:p w14:paraId="1E11B307" w14:textId="77777777" w:rsidR="005D4CD1" w:rsidRDefault="00000000" w:rsidP="00671125">
      <w:pPr>
        <w:pStyle w:val="berschrift2"/>
        <w:jc w:val="both"/>
      </w:pPr>
      <w:bookmarkStart w:id="382" w:name="stimuli-2"/>
      <w:r>
        <w:t>Stimuli</w:t>
      </w:r>
    </w:p>
    <w:p w14:paraId="280DDFD2" w14:textId="77777777" w:rsidR="005D4CD1" w:rsidRDefault="00000000" w:rsidP="00671125">
      <w:pPr>
        <w:pStyle w:val="FirstParagraph"/>
        <w:jc w:val="both"/>
      </w:pPr>
      <w:r>
        <w:t xml:space="preserve">In </w:t>
      </w:r>
      <w:r>
        <w:rPr>
          <w:i/>
          <w:iCs/>
        </w:rPr>
        <w:t>Size of Object</w:t>
      </w:r>
      <w:r>
        <w:t xml:space="preserve"> the targets in </w:t>
      </w:r>
      <w:proofErr w:type="spellStart"/>
      <w:r>
        <w:t>a</w:t>
      </w:r>
      <w:proofErr w:type="spellEnd"/>
      <w:r>
        <w:t xml:space="preserve"> each trial are identical shapes that are either small or large with regard to the reference frame they are presented in. To make cue and target shapes as distinct as possible they are again employing either squares or circles respectively or fully abstract shapes such as a random scribble or straight lines (cf. figure 4 B). For comparability, </w:t>
      </w:r>
      <w:r>
        <w:rPr>
          <w:i/>
          <w:iCs/>
        </w:rPr>
        <w:t>Size of Feature</w:t>
      </w:r>
      <w:r>
        <w:t xml:space="preserve"> employs the same cues as </w:t>
      </w:r>
      <w:r>
        <w:rPr>
          <w:i/>
          <w:iCs/>
        </w:rPr>
        <w:t>Size of Object</w:t>
      </w:r>
      <w:r>
        <w:t xml:space="preserve">, but features target shapes with either a </w:t>
      </w:r>
      <w:r>
        <w:lastRenderedPageBreak/>
        <w:t xml:space="preserve">relatively large or small void, opening, or protrusion. In </w:t>
      </w:r>
      <w:r>
        <w:rPr>
          <w:i/>
          <w:iCs/>
        </w:rPr>
        <w:t>Number of Object</w:t>
      </w:r>
      <w:r>
        <w:t xml:space="preserve">, cues and targets are composed of different shapes with some being simple line drawings. The displayed quantities were 1 versus 3, and 2 versus 4. Three- and four-year-olds can reliably distinguish these magnitudes explicitly and implicitly without counting (Mix, </w:t>
      </w:r>
      <w:proofErr w:type="spellStart"/>
      <w:r>
        <w:t>Huttenlocher</w:t>
      </w:r>
      <w:proofErr w:type="spellEnd"/>
      <w:r>
        <w:t xml:space="preserve">, &amp; Levine, 2002). Special attention was paid to the arrangement of the objects to ensure that the cue and target objects do not share visually similarity by forming a similar pattern, which is difficult as such small number arrays lend themselves to being grouped into canonical shapes by Gestalt principles such as proximity and closure. This issue was addressed by presenting the targets depicting the magnitudes three and four as if outlining irregular shapes. By contrast, the corresponding cues were aligned along a vertical </w:t>
      </w:r>
      <w:proofErr w:type="spellStart"/>
      <w:r>
        <w:t>of</w:t>
      </w:r>
      <w:proofErr w:type="spellEnd"/>
      <w:r>
        <w:t xml:space="preserve"> horizontal axis. For comparability, </w:t>
      </w:r>
      <w:r>
        <w:rPr>
          <w:i/>
          <w:iCs/>
        </w:rPr>
        <w:t>Number of Feature</w:t>
      </w:r>
      <w:r>
        <w:t xml:space="preserve"> employs the same cues as </w:t>
      </w:r>
      <w:r>
        <w:rPr>
          <w:i/>
          <w:iCs/>
        </w:rPr>
        <w:t>Number of Object</w:t>
      </w:r>
      <w:r>
        <w:t xml:space="preserve">. To evoke a sense of quantity in the closed forms serving as </w:t>
      </w:r>
      <w:del w:id="383" w:author="Revision" w:date="2026-04-24T11:50:00Z" w16du:dateUtc="2026-04-24T09:50:00Z">
        <w:r>
          <w:delText>referents</w:delText>
        </w:r>
      </w:del>
      <w:ins w:id="384" w:author="Revision" w:date="2026-04-24T11:50:00Z" w16du:dateUtc="2026-04-24T09:50:00Z">
        <w:r>
          <w:t>choice options</w:t>
        </w:r>
      </w:ins>
      <w:r>
        <w:t xml:space="preserve">, the target shapes in </w:t>
      </w:r>
      <w:r>
        <w:rPr>
          <w:i/>
          <w:iCs/>
        </w:rPr>
        <w:t>Number of Feature</w:t>
      </w:r>
      <w:r>
        <w:t xml:space="preserve"> either have salient protrusions, or partial areas resulting from incisions. For an overview of all stimuli presented in Study 3, see figure 4.</w:t>
      </w:r>
    </w:p>
    <w:p w14:paraId="375051AF" w14:textId="77777777" w:rsidR="005D4CD1" w:rsidRDefault="00000000" w:rsidP="00671125">
      <w:pPr>
        <w:pStyle w:val="berschrift2"/>
        <w:jc w:val="both"/>
      </w:pPr>
      <w:bookmarkStart w:id="385" w:name="participants-and-sample-2"/>
      <w:bookmarkEnd w:id="382"/>
      <w:r>
        <w:t>Participants and Sample</w:t>
      </w:r>
    </w:p>
    <w:p w14:paraId="1F5A6A9D" w14:textId="77777777" w:rsidR="005D4CD1" w:rsidRDefault="00000000" w:rsidP="00671125">
      <w:pPr>
        <w:pStyle w:val="FirstParagraph"/>
        <w:jc w:val="both"/>
      </w:pPr>
      <w:r>
        <w:t xml:space="preserve">A total of 99 three- to seven-year-old children (M = 59.88 months, SD = 13.44 months, range 36 - 83 months; 55 female) participated. </w:t>
      </w:r>
      <w:ins w:id="386" w:author="Revision" w:date="2026-04-24T11:50:00Z" w16du:dateUtc="2026-04-24T09:50:00Z">
        <w:r>
          <w:t xml:space="preserve">None of these had participated in the previous studies. </w:t>
        </w:r>
      </w:ins>
      <w:r>
        <w:t>In addition, 23 children (7 female) were tested but excluded for low performance during familiarization (N = 12), for not completing at least eight out of 16 test trials (N = 1), or being fussy (N = 3). Further exclusions were necessary due to language problems (N = 4) and technical issues (N = 3). For study three, 1559 trials (mean per condition = 389.75, range: 388 - 392) from 99 participants were submitted for analysis.</w:t>
      </w:r>
    </w:p>
    <w:p w14:paraId="6AB8B9D0" w14:textId="77777777" w:rsidR="005D4CD1" w:rsidRDefault="00000000" w:rsidP="00671125">
      <w:pPr>
        <w:pStyle w:val="berschrift2"/>
        <w:jc w:val="both"/>
      </w:pPr>
      <w:bookmarkStart w:id="387" w:name="results-2"/>
      <w:bookmarkEnd w:id="385"/>
      <w:r>
        <w:lastRenderedPageBreak/>
        <w:t>Results</w:t>
      </w:r>
    </w:p>
    <w:p w14:paraId="4BBD43EB" w14:textId="77777777" w:rsidR="005D4CD1" w:rsidRDefault="00000000" w:rsidP="00671125">
      <w:pPr>
        <w:pStyle w:val="FirstParagraph"/>
        <w:jc w:val="both"/>
      </w:pPr>
      <w:r>
        <w:t xml:space="preserve">PPCs indicated excellent fit of observed data and model predictions in both models. Model diagnostics were drawn for the full and null model in study 3. </w:t>
      </w:r>
      <w:proofErr w:type="spellStart"/>
      <w:r>
        <w:t>Rhat</w:t>
      </w:r>
      <w:proofErr w:type="spellEnd"/>
      <w:r>
        <w:t xml:space="preserve"> values in both models were equal to one, indicating convergence across all chains. Effective sample sizes for all fixed effects in the full model (Bulk ESS, mean = 6552, range 4556 - 8586) and the null model (Bulk ESS, mean = 7253, range 5531 - 8885) were &gt; 1000, indicating reliable posterior estimations.</w:t>
      </w:r>
    </w:p>
    <w:p w14:paraId="36E362AB" w14:textId="77777777" w:rsidR="005D4CD1" w:rsidRDefault="00000000" w:rsidP="00671125">
      <w:pPr>
        <w:pStyle w:val="Textkrper"/>
        <w:jc w:val="both"/>
      </w:pPr>
      <w:r>
        <w:t>When comparing performance, the full model showed a better fit (ELPD = -941.75) relative to the null model (ELPD = -945.94). The WAIC values also favored the full model (WAIC = 1,883.49) over the null model (WAIC = 1,891.88). Despite the slightly lower WAIC and higher ELPD of the full model, the difference in predictive accuracy (ELPD Diff = -4.19) remains almost within the range of sampling uncertainty (SE = 3.97). In the absence of substantial differences, the full model is reported below in line with the preregistration.</w:t>
      </w:r>
    </w:p>
    <w:p w14:paraId="4C4CFADC" w14:textId="77777777" w:rsidR="005D4CD1" w:rsidRDefault="00000000" w:rsidP="00671125">
      <w:pPr>
        <w:pStyle w:val="Textkrper"/>
        <w:jc w:val="both"/>
      </w:pPr>
      <w:r>
        <w:t>Overall, children’s performance increased with age (</w:t>
      </w:r>
      <m:oMath>
        <m:r>
          <w:rPr>
            <w:rFonts w:ascii="Cambria Math" w:hAnsi="Cambria Math"/>
          </w:rPr>
          <m:t>β</m:t>
        </m:r>
      </m:oMath>
      <w:r>
        <w:t xml:space="preserve"> = 0.70, 95% CrI [0.44, 0.97]) and with trial number (</w:t>
      </w:r>
      <m:oMath>
        <m:r>
          <w:rPr>
            <w:rFonts w:ascii="Cambria Math" w:hAnsi="Cambria Math"/>
          </w:rPr>
          <m:t>β</m:t>
        </m:r>
      </m:oMath>
      <w:r>
        <w:t xml:space="preserve"> = 0.21, 95% CrI [0.06, 0.36]), indicating general improvement across development and time-on-task. Relative to </w:t>
      </w:r>
      <w:r>
        <w:rPr>
          <w:i/>
          <w:iCs/>
        </w:rPr>
        <w:t>Size of Object</w:t>
      </w:r>
      <w:r>
        <w:t xml:space="preserve">, participants were substantially less accurate in </w:t>
      </w:r>
      <w:r>
        <w:rPr>
          <w:i/>
          <w:iCs/>
        </w:rPr>
        <w:t>Size of Feature</w:t>
      </w:r>
      <w:r>
        <w:t xml:space="preserve"> (beta = -0.71, 95% </w:t>
      </w:r>
      <w:proofErr w:type="spellStart"/>
      <w:r>
        <w:t>CrI</w:t>
      </w:r>
      <w:proofErr w:type="spellEnd"/>
      <w:r>
        <w:t xml:space="preserve"> [-1.06, -0.36]). A smaller, marginal effect was observed in </w:t>
      </w:r>
      <w:r>
        <w:rPr>
          <w:i/>
          <w:iCs/>
        </w:rPr>
        <w:t>Number of Feature</w:t>
      </w:r>
      <w:r>
        <w:t xml:space="preserve"> (</w:t>
      </w:r>
      <m:oMath>
        <m:r>
          <w:rPr>
            <w:rFonts w:ascii="Cambria Math" w:hAnsi="Cambria Math"/>
          </w:rPr>
          <m:t>β</m:t>
        </m:r>
      </m:oMath>
      <w:r>
        <w:t xml:space="preserve"> = -0.31, 95% CrI [-0.67,0.05]). </w:t>
      </w:r>
      <w:r>
        <w:rPr>
          <w:i/>
          <w:iCs/>
        </w:rPr>
        <w:t>Number of Object</w:t>
      </w:r>
      <w:r>
        <w:t xml:space="preserve"> (</w:t>
      </w:r>
      <m:oMath>
        <m:r>
          <w:rPr>
            <w:rFonts w:ascii="Cambria Math" w:hAnsi="Cambria Math"/>
          </w:rPr>
          <m:t>β</m:t>
        </m:r>
      </m:oMath>
      <w:r>
        <w:t xml:space="preserve"> = -0.08, 95% CrI [-0.43, 0.28]) did not differ reliably from </w:t>
      </w:r>
      <w:r>
        <w:rPr>
          <w:i/>
          <w:iCs/>
        </w:rPr>
        <w:t>Size of Object</w:t>
      </w:r>
      <w:r>
        <w:t xml:space="preserve">. Age moderated performance less strongly in </w:t>
      </w:r>
      <w:r>
        <w:rPr>
          <w:i/>
          <w:iCs/>
        </w:rPr>
        <w:t>Size of Feature</w:t>
      </w:r>
      <w:r>
        <w:t xml:space="preserve"> (</w:t>
      </w:r>
      <m:oMath>
        <m:r>
          <w:rPr>
            <w:rFonts w:ascii="Cambria Math" w:hAnsi="Cambria Math"/>
          </w:rPr>
          <m:t>β</m:t>
        </m:r>
      </m:oMath>
      <w:r>
        <w:t xml:space="preserve"> = -0.50, 95% CrI [-0.82, -0.20]) and </w:t>
      </w:r>
      <w:r>
        <w:rPr>
          <w:i/>
          <w:iCs/>
        </w:rPr>
        <w:t>Number of Feature</w:t>
      </w:r>
      <w:r>
        <w:t xml:space="preserve"> (</w:t>
      </w:r>
      <m:oMath>
        <m:r>
          <w:rPr>
            <w:rFonts w:ascii="Cambria Math" w:hAnsi="Cambria Math"/>
          </w:rPr>
          <m:t>β</m:t>
        </m:r>
      </m:oMath>
      <w:r>
        <w:t xml:space="preserve"> = -0.29, 95% CrI [-0.60, 0.03]), suggesting lower developmental gains compared to </w:t>
      </w:r>
      <w:r>
        <w:rPr>
          <w:i/>
          <w:iCs/>
        </w:rPr>
        <w:t>Size of Object</w:t>
      </w:r>
      <w:r>
        <w:t xml:space="preserve">. Generally, the conditions relying on feature-based reference are associated with lower overall performance and weaker developmental gains. The best overview of the relative performance </w:t>
      </w:r>
      <w:r>
        <w:lastRenderedPageBreak/>
        <w:t xml:space="preserve">across conditions </w:t>
      </w:r>
      <w:ins w:id="388" w:author="Revision" w:date="2026-04-24T11:50:00Z" w16du:dateUtc="2026-04-24T09:50:00Z">
        <w:r>
          <w:t xml:space="preserve">and the corresponding age of success </w:t>
        </w:r>
      </w:ins>
      <w:r>
        <w:t>is provided by plotting the model estimates (cf. figure 4).</w:t>
      </w:r>
    </w:p>
    <w:p w14:paraId="4040A15D" w14:textId="77777777" w:rsidR="005D4CD1" w:rsidRDefault="00000000" w:rsidP="00671125">
      <w:pPr>
        <w:pStyle w:val="CaptionedFigure"/>
        <w:framePr w:wrap="notBeside"/>
        <w:jc w:val="both"/>
      </w:pPr>
      <w:r>
        <w:rPr>
          <w:noProof/>
        </w:rPr>
        <w:drawing>
          <wp:inline distT="0" distB="0" distL="0" distR="0" wp14:anchorId="07E0AC88" wp14:editId="51479A19">
            <wp:extent cx="5670550" cy="3498352"/>
            <wp:effectExtent l="0" t="0" r="0" b="0"/>
            <wp:docPr id="56" name="Picture" descr="Figure 4: Stimuli and Developmental Trajectories for Study 3.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57" name="Picture" descr="../illustrations/S3_complete.png"/>
                    <pic:cNvPicPr>
                      <a:picLocks noChangeAspect="1" noChangeArrowheads="1"/>
                    </pic:cNvPicPr>
                  </pic:nvPicPr>
                  <pic:blipFill>
                    <a:blip r:embed="rId16"/>
                    <a:stretch>
                      <a:fillRect/>
                    </a:stretch>
                  </pic:blipFill>
                  <pic:spPr bwMode="auto">
                    <a:xfrm>
                      <a:off x="0" y="0"/>
                      <a:ext cx="5670550" cy="3498352"/>
                    </a:xfrm>
                    <a:prstGeom prst="rect">
                      <a:avLst/>
                    </a:prstGeom>
                    <a:noFill/>
                    <a:ln w="9525">
                      <a:noFill/>
                      <a:headEnd/>
                      <a:tailEnd/>
                    </a:ln>
                  </pic:spPr>
                </pic:pic>
              </a:graphicData>
            </a:graphic>
          </wp:inline>
        </w:drawing>
      </w:r>
    </w:p>
    <w:p w14:paraId="0A7B45A7" w14:textId="77777777" w:rsidR="005D4CD1" w:rsidRDefault="00000000" w:rsidP="00671125">
      <w:pPr>
        <w:pStyle w:val="ImageCaption"/>
        <w:jc w:val="both"/>
      </w:pPr>
      <w:bookmarkStart w:id="389" w:name="fig:plot-study3"/>
      <w:bookmarkEnd w:id="389"/>
      <w:r>
        <w:rPr>
          <w:i/>
          <w:iCs/>
        </w:rPr>
        <w:t>Figure</w:t>
      </w:r>
      <w:r>
        <w:t xml:space="preserve"> 4. </w:t>
      </w:r>
      <w:ins w:id="390" w:author="Revision" w:date="2026-04-24T11:50:00Z" w16du:dateUtc="2026-04-24T09:50:00Z">
        <w:r>
          <w:rPr>
            <w:i/>
            <w:iCs/>
          </w:rPr>
          <w:t xml:space="preserve">Stimuli and </w:t>
        </w:r>
      </w:ins>
      <w:r>
        <w:rPr>
          <w:i/>
          <w:iCs/>
        </w:rPr>
        <w:t xml:space="preserve">Developmental Trajectories for </w:t>
      </w:r>
      <w:del w:id="391" w:author="Revision" w:date="2026-04-24T11:50:00Z" w16du:dateUtc="2026-04-24T09:50:00Z">
        <w:r>
          <w:rPr>
            <w:i/>
            <w:iCs/>
          </w:rPr>
          <w:delText xml:space="preserve">all Conditions in </w:delText>
        </w:r>
      </w:del>
      <w:r>
        <w:rPr>
          <w:i/>
          <w:iCs/>
        </w:rPr>
        <w:t>Study 3.</w:t>
      </w:r>
      <w:r>
        <w:t xml:space="preserve"> Panels illustrate </w:t>
      </w:r>
      <w:ins w:id="392" w:author="Revision" w:date="2026-04-24T11:50:00Z" w16du:dateUtc="2026-04-24T09:50:00Z">
        <w:r>
          <w:t xml:space="preserve">(A) an </w:t>
        </w:r>
      </w:ins>
      <w:r>
        <w:t xml:space="preserve">example stimulus </w:t>
      </w:r>
      <w:del w:id="393" w:author="Revision" w:date="2026-04-24T11:50:00Z" w16du:dateUtc="2026-04-24T09:50:00Z">
        <w:r>
          <w:delText>combinations</w:delText>
        </w:r>
      </w:del>
      <w:ins w:id="394" w:author="Revision" w:date="2026-04-24T11:50:00Z" w16du:dateUtc="2026-04-24T09:50:00Z">
        <w:r>
          <w:t>combination</w:t>
        </w:r>
      </w:ins>
      <w:r>
        <w:t xml:space="preserve"> (distractor, cue, target</w:t>
      </w:r>
      <w:del w:id="395" w:author="Revision" w:date="2026-04-24T11:50:00Z" w16du:dateUtc="2026-04-24T09:50:00Z">
        <w:r>
          <w:delText xml:space="preserve">) and </w:delText>
        </w:r>
      </w:del>
      <w:ins w:id="396" w:author="Revision" w:date="2026-04-24T11:50:00Z" w16du:dateUtc="2026-04-24T09:50:00Z">
        <w:r>
          <w:t xml:space="preserve">), (B) all items of the respective conditions and (C) </w:t>
        </w:r>
      </w:ins>
      <w:r>
        <w:t xml:space="preserve">results. </w:t>
      </w:r>
      <w:proofErr w:type="spellStart"/>
      <w:r>
        <w:t>Coloured</w:t>
      </w:r>
      <w:proofErr w:type="spellEnd"/>
      <w:r>
        <w:t xml:space="preserve"> lines indicate smoothed mean performance by age. Shaded areas represent 95% </w:t>
      </w:r>
      <w:del w:id="397" w:author="Revision" w:date="2026-04-24T11:50:00Z" w16du:dateUtc="2026-04-24T09:50:00Z">
        <w:r>
          <w:delText>CrIs</w:delText>
        </w:r>
      </w:del>
      <w:ins w:id="398" w:author="Revision" w:date="2026-04-24T11:50:00Z" w16du:dateUtc="2026-04-24T09:50:00Z">
        <w:r>
          <w:t>CIs</w:t>
        </w:r>
      </w:ins>
      <w:r>
        <w:t xml:space="preserve">. The dashed line demarcates chance level and the dots represent individual means. The </w:t>
      </w:r>
      <w:del w:id="399" w:author="Revision" w:date="2026-04-24T11:50:00Z" w16du:dateUtc="2026-04-24T09:50:00Z">
        <w:r>
          <w:delText>coloured</w:delText>
        </w:r>
      </w:del>
      <w:ins w:id="400" w:author="Revision" w:date="2026-04-24T11:50:00Z" w16du:dateUtc="2026-04-24T09:50:00Z">
        <w:r>
          <w:t>colored</w:t>
        </w:r>
      </w:ins>
      <w:r>
        <w:t xml:space="preserve"> dots and annotation indicate when </w:t>
      </w:r>
      <w:ins w:id="401" w:author="Revision" w:date="2026-04-24T11:50:00Z" w16du:dateUtc="2026-04-24T09:50:00Z">
        <w:r>
          <w:t xml:space="preserve">children’s </w:t>
        </w:r>
      </w:ins>
      <w:r>
        <w:t>performance exceeds chance level.</w:t>
      </w:r>
    </w:p>
    <w:p w14:paraId="362BDB7B" w14:textId="77777777" w:rsidR="005D4CD1" w:rsidRDefault="00000000" w:rsidP="00671125">
      <w:pPr>
        <w:pStyle w:val="berschrift2"/>
        <w:jc w:val="both"/>
      </w:pPr>
      <w:bookmarkStart w:id="402" w:name="discussion-2"/>
      <w:bookmarkEnd w:id="387"/>
      <w:r>
        <w:t>Discussion</w:t>
      </w:r>
    </w:p>
    <w:p w14:paraId="4B8FBFEB" w14:textId="77777777" w:rsidR="005D4CD1" w:rsidRDefault="00000000" w:rsidP="00671125">
      <w:pPr>
        <w:pStyle w:val="FirstParagraph"/>
        <w:jc w:val="both"/>
      </w:pPr>
      <w:del w:id="403" w:author="Revision" w:date="2026-04-24T11:50:00Z" w16du:dateUtc="2026-04-24T09:50:00Z">
        <w:r>
          <w:delText xml:space="preserve">Children succeed in most conditions just after the fourth birthday. </w:delText>
        </w:r>
      </w:del>
      <w:r>
        <w:t xml:space="preserve">Model estimates indicate group level success in </w:t>
      </w:r>
      <w:r>
        <w:rPr>
          <w:i/>
          <w:iCs/>
        </w:rPr>
        <w:t>Size of Object</w:t>
      </w:r>
      <w:r>
        <w:t xml:space="preserve"> at 49 months, </w:t>
      </w:r>
      <w:r>
        <w:rPr>
          <w:i/>
          <w:iCs/>
        </w:rPr>
        <w:t>Number of Object</w:t>
      </w:r>
      <w:r>
        <w:t xml:space="preserve"> at 50 months, and </w:t>
      </w:r>
      <w:r>
        <w:rPr>
          <w:i/>
          <w:iCs/>
        </w:rPr>
        <w:lastRenderedPageBreak/>
        <w:t>Number of Feature</w:t>
      </w:r>
      <w:r>
        <w:t xml:space="preserve"> at 50 months. The exception to this pattern is </w:t>
      </w:r>
      <w:r>
        <w:rPr>
          <w:i/>
          <w:iCs/>
        </w:rPr>
        <w:t>Size of Feature</w:t>
      </w:r>
      <w:r>
        <w:t xml:space="preserve"> where children master the task no sooner than 59 months of age. We hypothesized that children will succeed earlier with analogies in size than in number, and that children would succeed earlier when cues refer to the target objects per se rather than salient features thereof. We find limited support for the hypothesis that the feature conditions are generally more demanding. That children succeed a month earlier in </w:t>
      </w:r>
      <w:r>
        <w:rPr>
          <w:i/>
          <w:iCs/>
        </w:rPr>
        <w:t>Number of Object</w:t>
      </w:r>
      <w:r>
        <w:t xml:space="preserve"> than in </w:t>
      </w:r>
      <w:r>
        <w:rPr>
          <w:i/>
          <w:iCs/>
        </w:rPr>
        <w:t>Size of Object</w:t>
      </w:r>
      <w:r>
        <w:t xml:space="preserve"> as hypothesized is negligible especially in the context of the four-year age-range that is considered here. </w:t>
      </w:r>
      <w:del w:id="404" w:author="Revision" w:date="2026-04-24T11:50:00Z" w16du:dateUtc="2026-04-24T09:50:00Z">
        <w:r>
          <w:rPr>
            <w:i/>
            <w:iCs/>
          </w:rPr>
          <w:delText xml:space="preserve">Size of </w:delText>
        </w:r>
      </w:del>
      <w:ins w:id="405" w:author="Revision" w:date="2026-04-24T11:50:00Z" w16du:dateUtc="2026-04-24T09:50:00Z">
        <w:r>
          <w:t xml:space="preserve">While </w:t>
        </w:r>
        <w:r>
          <w:rPr>
            <w:i/>
            <w:iCs/>
          </w:rPr>
          <w:t>Size of Object</w:t>
        </w:r>
        <w:r>
          <w:t xml:space="preserve"> demonstrates when children can grasp size analogies earlier, </w:t>
        </w:r>
        <w:r>
          <w:rPr>
            <w:i/>
            <w:iCs/>
          </w:rPr>
          <w:t xml:space="preserve">Size of </w:t>
        </w:r>
      </w:ins>
      <w:r>
        <w:rPr>
          <w:i/>
          <w:iCs/>
        </w:rPr>
        <w:t>Feature</w:t>
      </w:r>
      <w:r>
        <w:t xml:space="preserve"> stands out as the most difficult condition in </w:t>
      </w:r>
      <w:del w:id="406" w:author="Revision" w:date="2026-04-24T11:50:00Z" w16du:dateUtc="2026-04-24T09:50:00Z">
        <w:r>
          <w:delText>the</w:delText>
        </w:r>
      </w:del>
      <w:ins w:id="407" w:author="Revision" w:date="2026-04-24T11:50:00Z" w16du:dateUtc="2026-04-24T09:50:00Z">
        <w:r>
          <w:t>this</w:t>
        </w:r>
      </w:ins>
      <w:r>
        <w:t xml:space="preserve"> series of studies</w:t>
      </w:r>
      <w:del w:id="408" w:author="Revision" w:date="2026-04-24T11:50:00Z" w16du:dateUtc="2026-04-24T09:50:00Z">
        <w:r>
          <w:delText xml:space="preserve"> presented</w:delText>
        </w:r>
      </w:del>
      <w:ins w:id="409" w:author="Revision" w:date="2026-04-24T11:50:00Z" w16du:dateUtc="2026-04-24T09:50:00Z">
        <w:r>
          <w:t>. Success</w:t>
        </w:r>
      </w:ins>
      <w:r>
        <w:t xml:space="preserve"> here </w:t>
      </w:r>
      <w:del w:id="410" w:author="Revision" w:date="2026-04-24T11:50:00Z" w16du:dateUtc="2026-04-24T09:50:00Z">
        <w:r>
          <w:delText xml:space="preserve">with group-level success at 59 months as it </w:delText>
        </w:r>
      </w:del>
      <w:r>
        <w:t xml:space="preserve">requires </w:t>
      </w:r>
      <w:del w:id="411" w:author="Revision" w:date="2026-04-24T11:50:00Z" w16du:dateUtc="2026-04-24T09:50:00Z">
        <w:r>
          <w:delText xml:space="preserve">children </w:delText>
        </w:r>
      </w:del>
      <w:ins w:id="412" w:author="Revision" w:date="2026-04-24T11:50:00Z" w16du:dateUtc="2026-04-24T09:50:00Z">
        <w:r>
          <w:t xml:space="preserve">shifting attention from general appearance </w:t>
        </w:r>
      </w:ins>
      <w:r>
        <w:t xml:space="preserve">to </w:t>
      </w:r>
      <w:del w:id="413" w:author="Revision" w:date="2026-04-24T11:50:00Z" w16du:dateUtc="2026-04-24T09:50:00Z">
        <w:r>
          <w:delText xml:space="preserve">consider proportions within the composition of the target stimulus. </w:delText>
        </w:r>
        <w:r>
          <w:rPr>
            <w:i/>
            <w:iCs/>
          </w:rPr>
          <w:delText>Size of Object</w:delText>
        </w:r>
        <w:r>
          <w:delText xml:space="preserve"> demonstrates that children generally can grasp sizeanalogies earlier with the exact same cues</w:delText>
        </w:r>
      </w:del>
      <w:ins w:id="414" w:author="Revision" w:date="2026-04-24T11:50:00Z" w16du:dateUtc="2026-04-24T09:50:00Z">
        <w:r>
          <w:t>nested object features</w:t>
        </w:r>
      </w:ins>
      <w:r>
        <w:t xml:space="preserve"> and </w:t>
      </w:r>
      <w:del w:id="415" w:author="Revision" w:date="2026-04-24T11:50:00Z" w16du:dateUtc="2026-04-24T09:50:00Z">
        <w:r>
          <w:rPr>
            <w:i/>
            <w:iCs/>
          </w:rPr>
          <w:delText>Absolute Position</w:delText>
        </w:r>
        <w:r>
          <w:delText xml:space="preserve"> and </w:delText>
        </w:r>
        <w:r>
          <w:rPr>
            <w:i/>
            <w:iCs/>
          </w:rPr>
          <w:delText>Relative Position</w:delText>
        </w:r>
        <w:r>
          <w:delText xml:space="preserve"> from study 2 indicate that children can also master figure-ground relationships or relational patterns in targets even prior to the fourth birthday.</w:delText>
        </w:r>
      </w:del>
      <w:ins w:id="416" w:author="Revision" w:date="2026-04-24T11:50:00Z" w16du:dateUtc="2026-04-24T09:50:00Z">
        <w:r>
          <w:t>this ability develops considerably throughout the preschool years (Callaghan, 1990; Diamond et al., 2016; Shepp et al., 1987).</w:t>
        </w:r>
      </w:ins>
    </w:p>
    <w:p w14:paraId="64C28A16" w14:textId="77777777" w:rsidR="005D4CD1" w:rsidRDefault="00000000">
      <w:pPr>
        <w:pStyle w:val="berschrift1"/>
      </w:pPr>
      <w:bookmarkStart w:id="417" w:name="discussion-3"/>
      <w:bookmarkEnd w:id="377"/>
      <w:bookmarkEnd w:id="402"/>
      <w:r>
        <w:t>Discussion</w:t>
      </w:r>
    </w:p>
    <w:p w14:paraId="16386787" w14:textId="77777777" w:rsidR="005D4CD1" w:rsidRDefault="00000000" w:rsidP="00671125">
      <w:pPr>
        <w:pStyle w:val="FirstParagraph"/>
        <w:jc w:val="both"/>
      </w:pPr>
      <w:r>
        <w:t xml:space="preserve">We presented a concerted three-part research project tracing young children’s ability to spontaneously </w:t>
      </w:r>
      <w:del w:id="418" w:author="Revision" w:date="2026-04-24T11:50:00Z" w16du:dateUtc="2026-04-24T09:50:00Z">
        <w:r>
          <w:delText>comprehend</w:delText>
        </w:r>
      </w:del>
      <w:ins w:id="419" w:author="Revision" w:date="2026-04-24T11:50:00Z" w16du:dateUtc="2026-04-24T09:50:00Z">
        <w:r>
          <w:t>use</w:t>
        </w:r>
      </w:ins>
      <w:r>
        <w:t xml:space="preserve"> unfamiliar graphic </w:t>
      </w:r>
      <w:del w:id="420" w:author="Revision" w:date="2026-04-24T11:50:00Z" w16du:dateUtc="2026-04-24T09:50:00Z">
        <w:r>
          <w:delText>symbols</w:delText>
        </w:r>
      </w:del>
      <w:ins w:id="421" w:author="Revision" w:date="2026-04-24T11:50:00Z" w16du:dateUtc="2026-04-24T09:50:00Z">
        <w:r>
          <w:t>displays as communicative cues</w:t>
        </w:r>
      </w:ins>
      <w:r>
        <w:t xml:space="preserve"> in an object-choice task across a wide variety of symbol-referent relationships. In three studies with four conditions each, we collected data of two children per month of age continuously from the third to the seventh birthday for a final sample of 304 children (Study 1, N = 106; Study 2, N = 99; Study 3, N = 99). We determined the month of age at which children as a group perform </w:t>
      </w:r>
      <w:r>
        <w:lastRenderedPageBreak/>
        <w:t xml:space="preserve">above chance with each symbol-referent relationship using Bayesian GLMMs. Across the various conditions, symbolic reference between cue and target was established via direct representation, a part-whole relationship, analogies in size, number and shape, as well as gestalt-like principles like figure-ground relationships, orientation and alignment. </w:t>
      </w:r>
      <w:del w:id="422" w:author="Revision" w:date="2026-04-24T11:50:00Z" w16du:dateUtc="2026-04-24T09:50:00Z">
        <w:r>
          <w:delText>While</w:delText>
        </w:r>
      </w:del>
      <w:ins w:id="423" w:author="Revision" w:date="2026-04-24T11:50:00Z" w16du:dateUtc="2026-04-24T09:50:00Z">
        <w:r>
          <w:t>Whereas</w:t>
        </w:r>
      </w:ins>
      <w:r>
        <w:t xml:space="preserve"> previous work on graphic communication has focused almost exclusively on iconicity as a way of creating meaning and compared performance across binned age-groups, the three studies presented here map development continuously using a highly simple and streamlined procedure across various conceptual dimensions.</w:t>
      </w:r>
    </w:p>
    <w:p w14:paraId="0CE87159" w14:textId="77777777" w:rsidR="005D4CD1" w:rsidRDefault="00000000" w:rsidP="00671125">
      <w:pPr>
        <w:pStyle w:val="Textkrper"/>
        <w:jc w:val="both"/>
        <w:rPr>
          <w:ins w:id="424" w:author="Revision" w:date="2026-04-24T11:50:00Z" w16du:dateUtc="2026-04-24T09:50:00Z"/>
        </w:rPr>
      </w:pPr>
      <w:ins w:id="425" w:author="Revision" w:date="2026-04-24T11:50:00Z" w16du:dateUtc="2026-04-24T09:50:00Z">
        <w:r>
          <w:t>By design, the three studies provide a conservative test case of children’s ability to find meaning in the symbol-referent relationships presented. Participants are never directly instructed to search specific similarities across cue and target nor prompted to find matches per se as is commonly done in match-to-sample designs (e.g. “Which ones go together?”). Rather children were told that their interlocutor would like to help them find an item in a game of hide and seek and would create a drawing for them. Children then had to infer that the interlocutors drawings may be read as novel symbolic cues referring to either choice option. To prevent learning or demand effects across trials, children did not receive feedback for their responses, only saw one version of the two possible cues for each target-distractor pairing, and were presented with a novel stimulus combination in each trial. Hence, children’s inferences depended almost exclusively on the specific graphic arrangement immediately in front of them.</w:t>
        </w:r>
      </w:ins>
    </w:p>
    <w:p w14:paraId="4C512BDD" w14:textId="77777777" w:rsidR="005D4CD1" w:rsidRDefault="00000000" w:rsidP="00671125">
      <w:pPr>
        <w:pStyle w:val="Textkrper"/>
        <w:jc w:val="both"/>
      </w:pPr>
      <w:r>
        <w:t xml:space="preserve">In Study 1, we found that in </w:t>
      </w:r>
      <w:r>
        <w:rPr>
          <w:i/>
          <w:iCs/>
        </w:rPr>
        <w:t>Representation</w:t>
      </w:r>
      <w:r>
        <w:t xml:space="preserve"> - with cues that are direct outline drawings of the items they refer to - children are robustly better than chance at the lower boundary of our age-window</w:t>
      </w:r>
      <w:del w:id="426" w:author="Revision" w:date="2026-04-24T11:50:00Z" w16du:dateUtc="2026-04-24T09:50:00Z">
        <w:r>
          <w:delText xml:space="preserve"> which demonstrates that the general task design and setup are sufficiently clear even for the youngest children in the sample.</w:delText>
        </w:r>
      </w:del>
      <w:ins w:id="427" w:author="Revision" w:date="2026-04-24T11:50:00Z" w16du:dateUtc="2026-04-24T09:50:00Z">
        <w:r>
          <w:t>.</w:t>
        </w:r>
      </w:ins>
      <w:r>
        <w:t xml:space="preserve"> A second condition, </w:t>
      </w:r>
      <w:r>
        <w:rPr>
          <w:i/>
          <w:iCs/>
        </w:rPr>
        <w:t>Pars Pro Toto</w:t>
      </w:r>
      <w:r>
        <w:t xml:space="preserve">, used the </w:t>
      </w:r>
      <w:del w:id="428" w:author="Revision" w:date="2026-04-24T11:50:00Z" w16du:dateUtc="2026-04-24T09:50:00Z">
        <w:r>
          <w:delText xml:space="preserve">exact </w:delText>
        </w:r>
      </w:del>
      <w:r>
        <w:t xml:space="preserve">same </w:t>
      </w:r>
      <w:del w:id="429" w:author="Revision" w:date="2026-04-24T11:50:00Z" w16du:dateUtc="2026-04-24T09:50:00Z">
        <w:r>
          <w:lastRenderedPageBreak/>
          <w:delText>stimuli</w:delText>
        </w:r>
      </w:del>
      <w:ins w:id="430" w:author="Revision" w:date="2026-04-24T11:50:00Z" w16du:dateUtc="2026-04-24T09:50:00Z">
        <w:r>
          <w:t xml:space="preserve">targets as </w:t>
        </w:r>
        <w:r>
          <w:rPr>
            <w:i/>
            <w:iCs/>
          </w:rPr>
          <w:t>Representation</w:t>
        </w:r>
      </w:ins>
      <w:r>
        <w:t>, but the cues provided only half of the respective figures to guide children’s choices</w:t>
      </w:r>
      <w:del w:id="431" w:author="Revision" w:date="2026-04-24T11:50:00Z" w16du:dateUtc="2026-04-24T09:50:00Z">
        <w:r>
          <w:delText>. While cues are highly similar and targets even identical, children solve Pars Pro Toto no sooner than</w:delText>
        </w:r>
      </w:del>
      <w:ins w:id="432" w:author="Revision" w:date="2026-04-24T11:50:00Z" w16du:dateUtc="2026-04-24T09:50:00Z">
        <w:r>
          <w:t>, which children can use</w:t>
        </w:r>
      </w:ins>
      <w:r>
        <w:t xml:space="preserve"> at 38 months of age. This demonstrates that by three years of age, children’s symbolic competence is still fragile if additional steps such as the straightforward completion of a </w:t>
      </w:r>
      <w:del w:id="433" w:author="Revision" w:date="2026-04-24T11:50:00Z" w16du:dateUtc="2026-04-24T09:50:00Z">
        <w:r>
          <w:delText>canonic</w:delText>
        </w:r>
      </w:del>
      <w:ins w:id="434" w:author="Revision" w:date="2026-04-24T11:50:00Z" w16du:dateUtc="2026-04-24T09:50:00Z">
        <w:r>
          <w:t>canonical</w:t>
        </w:r>
      </w:ins>
      <w:r>
        <w:t xml:space="preserve"> shape is necessary for referential inference. Two further conditions aimed at abstracting from the cue </w:t>
      </w:r>
      <w:del w:id="435" w:author="Revision" w:date="2026-04-24T11:50:00Z" w16du:dateUtc="2026-04-24T09:50:00Z">
        <w:r>
          <w:delText xml:space="preserve">representations </w:delText>
        </w:r>
      </w:del>
      <w:r>
        <w:t xml:space="preserve">while still retaining characteristic features of the target shapes with regard to an analogy in form, namely whether they were more round or edgy. </w:t>
      </w:r>
      <w:r>
        <w:rPr>
          <w:i/>
          <w:iCs/>
        </w:rPr>
        <w:t>Simple Form Analogy</w:t>
      </w:r>
      <w:r>
        <w:t xml:space="preserve"> </w:t>
      </w:r>
      <w:del w:id="436" w:author="Revision" w:date="2026-04-24T11:50:00Z" w16du:dateUtc="2026-04-24T09:50:00Z">
        <w:r>
          <w:delText xml:space="preserve">employed simple shapes as cues with success at 47 months, </w:delText>
        </w:r>
      </w:del>
      <w:r>
        <w:t xml:space="preserve">and </w:t>
      </w:r>
      <w:r>
        <w:rPr>
          <w:i/>
          <w:iCs/>
        </w:rPr>
        <w:t>Complex Form Analogy</w:t>
      </w:r>
      <w:r>
        <w:t xml:space="preserve"> </w:t>
      </w:r>
      <w:del w:id="437" w:author="Revision" w:date="2026-04-24T11:50:00Z" w16du:dateUtc="2026-04-24T09:50:00Z">
        <w:r>
          <w:delText>more elaborate patterns with</w:delText>
        </w:r>
      </w:del>
      <w:ins w:id="438" w:author="Revision" w:date="2026-04-24T11:50:00Z" w16du:dateUtc="2026-04-24T09:50:00Z">
        <w:r>
          <w:t>yield</w:t>
        </w:r>
      </w:ins>
      <w:r>
        <w:t xml:space="preserve"> success at 50 months</w:t>
      </w:r>
      <w:del w:id="439" w:author="Revision" w:date="2026-04-24T11:50:00Z" w16du:dateUtc="2026-04-24T09:50:00Z">
        <w:r>
          <w:delText>.</w:delText>
        </w:r>
      </w:del>
      <w:ins w:id="440" w:author="Revision" w:date="2026-04-24T11:50:00Z" w16du:dateUtc="2026-04-24T09:50:00Z">
        <w:r>
          <w:t xml:space="preserve"> and 47 months.</w:t>
        </w:r>
      </w:ins>
      <w:r>
        <w:t xml:space="preserve"> This is the first time a developmental setup features </w:t>
      </w:r>
      <w:ins w:id="441" w:author="Revision" w:date="2026-04-24T11:50:00Z" w16du:dateUtc="2026-04-24T09:50:00Z">
        <w:r>
          <w:t xml:space="preserve">an </w:t>
        </w:r>
      </w:ins>
      <w:r>
        <w:t>abstract</w:t>
      </w:r>
      <w:ins w:id="442" w:author="Revision" w:date="2026-04-24T11:50:00Z" w16du:dateUtc="2026-04-24T09:50:00Z">
        <w:r>
          <w:t xml:space="preserve"> analogy in</w:t>
        </w:r>
      </w:ins>
      <w:r>
        <w:t xml:space="preserve"> shape as a means of disambiguation in graphic communication. Taken together, study 1 provides a within-subjects comparison of young children’s ability to read representational</w:t>
      </w:r>
      <w:del w:id="443" w:author="Revision" w:date="2026-04-24T11:50:00Z" w16du:dateUtc="2026-04-24T09:50:00Z">
        <w:r>
          <w:delText>, metonymical</w:delText>
        </w:r>
      </w:del>
      <w:r>
        <w:t xml:space="preserve"> and metaphorical uses of form in graphic communication, showing that while iconicity marks the entry point for the comprehension of graphic cues, more abstract representations are only accessible by the fourth year.</w:t>
      </w:r>
    </w:p>
    <w:p w14:paraId="610C9087" w14:textId="77777777" w:rsidR="005D4CD1" w:rsidRDefault="00000000" w:rsidP="00671125">
      <w:pPr>
        <w:pStyle w:val="Textkrper"/>
        <w:jc w:val="both"/>
      </w:pPr>
      <w:r>
        <w:t xml:space="preserve">Study 2 explored whether children can infer symbol-referent relationships based on orientation and position. In </w:t>
      </w:r>
      <w:r>
        <w:rPr>
          <w:i/>
          <w:iCs/>
        </w:rPr>
        <w:t>Absolute Position</w:t>
      </w:r>
      <w:r>
        <w:t xml:space="preserve">, cue and target placement were aligned in their frame of presentation (e.g. the paper that the symbol was drawn on) and the symbol-referent relation was established by the respective positions in their immediate visual context. Here children succeeded at 44 months of age. In </w:t>
      </w:r>
      <w:r>
        <w:rPr>
          <w:i/>
          <w:iCs/>
        </w:rPr>
        <w:t>Relative Position</w:t>
      </w:r>
      <w:r>
        <w:t>,</w:t>
      </w:r>
      <w:del w:id="444" w:author="Revision" w:date="2026-04-24T11:50:00Z" w16du:dateUtc="2026-04-24T09:50:00Z">
        <w:r>
          <w:delText xml:space="preserve"> the</w:delText>
        </w:r>
      </w:del>
      <w:r>
        <w:t xml:space="preserve"> target and cue were composed of two figures each that were either closer together or further apart, or aligned on a vertical or horizontal axis. Here children perform above chance at 49 months of age. Success even prior to the fourth birthday in these conditions is remarkable as it requires children to identify and compare relations (</w:t>
      </w:r>
      <w:r>
        <w:rPr>
          <w:i/>
          <w:iCs/>
        </w:rPr>
        <w:t>Absolute Position</w:t>
      </w:r>
      <w:r>
        <w:t xml:space="preserve"> – figure/ground; </w:t>
      </w:r>
      <w:r>
        <w:rPr>
          <w:i/>
          <w:iCs/>
        </w:rPr>
        <w:t>Relative Position</w:t>
      </w:r>
      <w:r>
        <w:t xml:space="preserve"> – figure/figure) which is </w:t>
      </w:r>
      <w:r>
        <w:lastRenderedPageBreak/>
        <w:t>demanding even later throughout the preschool years in other contexts (</w:t>
      </w:r>
      <w:ins w:id="445" w:author="Revision" w:date="2026-04-24T11:50:00Z" w16du:dateUtc="2026-04-24T09:50:00Z">
        <w:r>
          <w:t xml:space="preserve">Christie &amp; Gentner, 2014; </w:t>
        </w:r>
        <w:proofErr w:type="spellStart"/>
        <w:r>
          <w:t>Kroupin</w:t>
        </w:r>
        <w:proofErr w:type="spellEnd"/>
        <w:r>
          <w:t xml:space="preserve"> &amp; Carey, 2022b; </w:t>
        </w:r>
      </w:ins>
      <w:r>
        <w:t xml:space="preserve">Shivaram, Shao, Simms, </w:t>
      </w:r>
      <w:proofErr w:type="spellStart"/>
      <w:r>
        <w:t>Hespos</w:t>
      </w:r>
      <w:proofErr w:type="spellEnd"/>
      <w:r>
        <w:t xml:space="preserve">, &amp; Gentner, 2023). </w:t>
      </w:r>
      <w:r>
        <w:rPr>
          <w:i/>
          <w:iCs/>
        </w:rPr>
        <w:t>Orientation of Object</w:t>
      </w:r>
      <w:r>
        <w:t xml:space="preserve"> featured elongated shapes that were oriented either horizontally or vertically while cue and target shared the same direction. Previous research employing a same-different task indicates that children are sensitive to spatial alignment along a common axis in juxtaposed graphic displays no sooner than six to eight years of age (Zheng, </w:t>
      </w:r>
      <w:proofErr w:type="spellStart"/>
      <w:r>
        <w:t>Matlen</w:t>
      </w:r>
      <w:proofErr w:type="spellEnd"/>
      <w:r>
        <w:t xml:space="preserve">, &amp; Gentner, 2022). In the context of our study, children succeeded at 50 months. </w:t>
      </w:r>
      <w:del w:id="446" w:author="Revision" w:date="2026-04-24T11:50:00Z" w16du:dateUtc="2026-04-24T09:50:00Z">
        <w:r>
          <w:delText xml:space="preserve">Contrary to our preregistered prediction, children succeed even earlier - at 47 months - in the complementary condition </w:delText>
        </w:r>
        <w:r>
          <w:rPr>
            <w:i/>
            <w:iCs/>
          </w:rPr>
          <w:delText>Orientation of Feature</w:delText>
        </w:r>
        <w:r>
          <w:delText xml:space="preserve">. In this condition, the cues and targets had a feature like a bump or an opening that is oriented either up- or downward. </w:delText>
        </w:r>
      </w:del>
      <w:r>
        <w:t xml:space="preserve">In summary, Study 2 addresses an interesting caveat in previous research by presenting stimulus sets where </w:t>
      </w:r>
      <w:del w:id="447" w:author="Revision" w:date="2026-04-24T11:50:00Z" w16du:dateUtc="2026-04-24T09:50:00Z">
        <w:r>
          <w:delText>symbol</w:delText>
        </w:r>
      </w:del>
      <w:ins w:id="448" w:author="Revision" w:date="2026-04-24T11:50:00Z" w16du:dateUtc="2026-04-24T09:50:00Z">
        <w:r>
          <w:t>cue</w:t>
        </w:r>
      </w:ins>
      <w:r>
        <w:t xml:space="preserve"> and </w:t>
      </w:r>
      <w:del w:id="449" w:author="Revision" w:date="2026-04-24T11:50:00Z" w16du:dateUtc="2026-04-24T09:50:00Z">
        <w:r>
          <w:delText>referent</w:delText>
        </w:r>
      </w:del>
      <w:ins w:id="450" w:author="Revision" w:date="2026-04-24T11:50:00Z" w16du:dateUtc="2026-04-24T09:50:00Z">
        <w:r>
          <w:t>target</w:t>
        </w:r>
      </w:ins>
      <w:r>
        <w:t xml:space="preserve"> feature different shapes but are composed in similar ways. While this requires uncovering abstract relations, these relations are by design still based on resemblance on the level of the overall composition, and hence, cover a middle ground between iconic and abstract representations.</w:t>
      </w:r>
    </w:p>
    <w:p w14:paraId="3A1183AE" w14:textId="77777777" w:rsidR="005D4CD1" w:rsidRDefault="00000000" w:rsidP="00671125">
      <w:pPr>
        <w:pStyle w:val="Textkrper"/>
        <w:jc w:val="both"/>
      </w:pPr>
      <w:r>
        <w:t xml:space="preserve">Study 3 set out to further reduce iconicity by drawing abstract analogies in size and number. </w:t>
      </w:r>
      <w:r>
        <w:rPr>
          <w:i/>
          <w:iCs/>
        </w:rPr>
        <w:t>Number of Object</w:t>
      </w:r>
      <w:r>
        <w:t xml:space="preserve"> featured graphic displays with one or three items </w:t>
      </w:r>
      <w:del w:id="451" w:author="Revision" w:date="2026-04-24T11:50:00Z" w16du:dateUtc="2026-04-24T09:50:00Z">
        <w:r>
          <w:delText>per</w:delText>
        </w:r>
      </w:del>
      <w:ins w:id="452" w:author="Revision" w:date="2026-04-24T11:50:00Z" w16du:dateUtc="2026-04-24T09:50:00Z">
        <w:r>
          <w:t>for</w:t>
        </w:r>
      </w:ins>
      <w:r>
        <w:t xml:space="preserve"> target </w:t>
      </w:r>
      <w:del w:id="453" w:author="Revision" w:date="2026-04-24T11:50:00Z" w16du:dateUtc="2026-04-24T09:50:00Z">
        <w:r>
          <w:delText>or referent</w:delText>
        </w:r>
      </w:del>
      <w:ins w:id="454" w:author="Revision" w:date="2026-04-24T11:50:00Z" w16du:dateUtc="2026-04-24T09:50:00Z">
        <w:r>
          <w:t>and distractor</w:t>
        </w:r>
      </w:ins>
      <w:r>
        <w:t xml:space="preserve">. </w:t>
      </w:r>
      <w:r>
        <w:rPr>
          <w:i/>
          <w:iCs/>
        </w:rPr>
        <w:t>Number of Feature</w:t>
      </w:r>
      <w:r>
        <w:t xml:space="preserve"> reuses the same cues but employs targets varying in number with regard to salient features (e.g., spikes or dents). Children succeed in both conditions at 50 months. A different pattern emerges for the two conditions featuring size relationships. Children succeed at 49 months of age in </w:t>
      </w:r>
      <w:r>
        <w:rPr>
          <w:i/>
          <w:iCs/>
        </w:rPr>
        <w:t>Size of Object</w:t>
      </w:r>
      <w:r>
        <w:t xml:space="preserve">, but ten months later in </w:t>
      </w:r>
      <w:r>
        <w:rPr>
          <w:i/>
          <w:iCs/>
        </w:rPr>
        <w:t>Size of Feature</w:t>
      </w:r>
      <w:del w:id="455" w:author="Revision" w:date="2026-04-24T11:50:00Z" w16du:dateUtc="2026-04-24T09:50:00Z">
        <w:r>
          <w:delText xml:space="preserve"> in which target and distractor figures have a small or large opening, bump or hole. This aligns with research showing that while preschoolers are generally sensitive to the canonical size of objects depicted in graphical displays (Bloom &amp; Markson, 1998; Cox, 2005; Long et al., 2019) they are </w:delText>
        </w:r>
        <w:r>
          <w:lastRenderedPageBreak/>
          <w:delText>much less likely to spontaneously extract size relations among abstract shapes (Kroupin &amp; Carey, 2022b).</w:delText>
        </w:r>
      </w:del>
      <w:ins w:id="456" w:author="Revision" w:date="2026-04-24T11:50:00Z" w16du:dateUtc="2026-04-24T09:50:00Z">
        <w:r>
          <w:t>.</w:t>
        </w:r>
      </w:ins>
    </w:p>
    <w:p w14:paraId="4CF56E9F" w14:textId="77777777" w:rsidR="005D4CD1" w:rsidRDefault="00000000" w:rsidP="00671125">
      <w:pPr>
        <w:pStyle w:val="Textkrper"/>
        <w:jc w:val="both"/>
      </w:pPr>
      <w:r>
        <w:t xml:space="preserve">A set of major findings emerges from the studies presented here. First, our results </w:t>
      </w:r>
      <w:del w:id="457" w:author="Revision" w:date="2026-04-24T11:50:00Z" w16du:dateUtc="2026-04-24T09:50:00Z">
        <w:r>
          <w:delText xml:space="preserve">robustly </w:delText>
        </w:r>
      </w:del>
      <w:r>
        <w:t xml:space="preserve">confirm that symbol-referent relationships are </w:t>
      </w:r>
      <w:del w:id="458" w:author="Revision" w:date="2026-04-24T11:50:00Z" w16du:dateUtc="2026-04-24T09:50:00Z">
        <w:r>
          <w:delText xml:space="preserve">easiest for children </w:delText>
        </w:r>
      </w:del>
      <w:ins w:id="459" w:author="Revision" w:date="2026-04-24T11:50:00Z" w16du:dateUtc="2026-04-24T09:50:00Z">
        <w:r>
          <w:t xml:space="preserve">most accessible </w:t>
        </w:r>
      </w:ins>
      <w:r>
        <w:t xml:space="preserve">when </w:t>
      </w:r>
      <w:del w:id="460" w:author="Revision" w:date="2026-04-24T11:50:00Z" w16du:dateUtc="2026-04-24T09:50:00Z">
        <w:r>
          <w:delText xml:space="preserve">they are </w:delText>
        </w:r>
      </w:del>
      <w:r>
        <w:t xml:space="preserve">based </w:t>
      </w:r>
      <w:del w:id="461" w:author="Revision" w:date="2026-04-24T11:50:00Z" w16du:dateUtc="2026-04-24T09:50:00Z">
        <w:r>
          <w:delText>in</w:delText>
        </w:r>
      </w:del>
      <w:ins w:id="462" w:author="Revision" w:date="2026-04-24T11:50:00Z" w16du:dateUtc="2026-04-24T09:50:00Z">
        <w:r>
          <w:t>on</w:t>
        </w:r>
      </w:ins>
      <w:r>
        <w:t xml:space="preserve"> iconicity</w:t>
      </w:r>
      <w:del w:id="463" w:author="Revision" w:date="2026-04-24T11:50:00Z" w16du:dateUtc="2026-04-24T09:50:00Z">
        <w:r>
          <w:delText xml:space="preserve"> and become gradually more</w:delText>
        </w:r>
      </w:del>
      <w:ins w:id="464" w:author="Revision" w:date="2026-04-24T11:50:00Z" w16du:dateUtc="2026-04-24T09:50:00Z">
        <w:r>
          <w:t>, becoming increasingly</w:t>
        </w:r>
      </w:ins>
      <w:r>
        <w:t xml:space="preserve"> difficult as visual similarity decreases (Ganea</w:t>
      </w:r>
      <w:del w:id="465" w:author="Revision" w:date="2026-04-24T11:50:00Z" w16du:dateUtc="2026-04-24T09:50:00Z">
        <w:r>
          <w:delText xml:space="preserve"> et al.,</w:delText>
        </w:r>
      </w:del>
      <w:ins w:id="466" w:author="Revision" w:date="2026-04-24T11:50:00Z" w16du:dateUtc="2026-04-24T09:50:00Z">
        <w:r>
          <w:t>, Pickard, &amp; DeLoache,</w:t>
        </w:r>
      </w:ins>
      <w:r>
        <w:t xml:space="preserve"> 2008</w:t>
      </w:r>
      <w:del w:id="467" w:author="Revision" w:date="2026-04-24T11:50:00Z" w16du:dateUtc="2026-04-24T09:50:00Z">
        <w:r>
          <w:delText>) as</w:delText>
        </w:r>
      </w:del>
      <w:ins w:id="468" w:author="Revision" w:date="2026-04-24T11:50:00Z" w16du:dateUtc="2026-04-24T09:50:00Z">
        <w:r>
          <w:t>). This progression likely reflects the fact that</w:t>
        </w:r>
      </w:ins>
      <w:r>
        <w:t xml:space="preserve"> access to </w:t>
      </w:r>
      <w:ins w:id="469" w:author="Revision" w:date="2026-04-24T11:50:00Z" w16du:dateUtc="2026-04-24T09:50:00Z">
        <w:r>
          <w:t xml:space="preserve">abstract </w:t>
        </w:r>
      </w:ins>
      <w:r>
        <w:t xml:space="preserve">conceptual information </w:t>
      </w:r>
      <w:del w:id="470" w:author="Revision" w:date="2026-04-24T11:50:00Z" w16du:dateUtc="2026-04-24T09:50:00Z">
        <w:r>
          <w:delText>appears to develop</w:delText>
        </w:r>
      </w:del>
      <w:ins w:id="471" w:author="Revision" w:date="2026-04-24T11:50:00Z" w16du:dateUtc="2026-04-24T09:50:00Z">
        <w:r>
          <w:t>matures</w:t>
        </w:r>
      </w:ins>
      <w:r>
        <w:t xml:space="preserve"> later in the preschool years (Callaghan, 2000).</w:t>
      </w:r>
      <w:ins w:id="472" w:author="Revision" w:date="2026-04-24T11:50:00Z" w16du:dateUtc="2026-04-24T09:50:00Z">
        <w:r>
          <w:t xml:space="preserve"> Furthermore, children are less likely to spontaneously align or compare stimuli when the disparity between comparands increases, a constraint that limits the discovery of non-obvious matches (Gentner &amp; Hoyos, 2017).</w:t>
        </w:r>
      </w:ins>
      <w:r>
        <w:t xml:space="preserve"> These findings are of practical relevance for early childhood education as they showcase children’s ability to use various expressive dimensions in the graphic domain and can guide the design of pedagogical materials by showing specifically how accessible various ways of conveying meaning in graphic design may be. Second, the reduced accuracy in analogy-based and feature-referenced tasks are both consistent with evidence that younger children tend to focus on surface features rather than relations (Gentner &amp; Hoyos, 2017; </w:t>
      </w:r>
      <w:proofErr w:type="spellStart"/>
      <w:r>
        <w:t>Rattermann</w:t>
      </w:r>
      <w:proofErr w:type="spellEnd"/>
      <w:r>
        <w:t xml:space="preserve"> &amp; Gentner, 1998; Richland et al., 2006), making tasks that require attentional shifting or nested comparison structures particularly demanding (Halford</w:t>
      </w:r>
      <w:del w:id="473" w:author="Revision" w:date="2026-04-24T11:50:00Z" w16du:dateUtc="2026-04-24T09:50:00Z">
        <w:r>
          <w:delText>, Wilson, &amp; Phillips, 1998).</w:delText>
        </w:r>
      </w:del>
      <w:ins w:id="474" w:author="Revision" w:date="2026-04-24T11:50:00Z" w16du:dateUtc="2026-04-24T09:50:00Z">
        <w:r>
          <w:t xml:space="preserve"> et al., 1998). Shifting attention to different aspects of stimuli sets requires children to keep track of features they have explored. Therefore,</w:t>
        </w:r>
      </w:ins>
      <w:r>
        <w:t xml:space="preserve"> relational or abstract as opposed to feature‑based processing taxes working memory and inhibitory control more strongly (Gick &amp; Holyoak, 1980; Goswami, 1991). This, in turn, points to aspects of cognitive maturation that are likely to foster children’s performance in the tasks outlined above, as seen in work on the development of executive functions — particularly the early emergence and developmental trajectories of working memory, inhibitory control, and cognitive flexibility in </w:t>
      </w:r>
      <w:r>
        <w:lastRenderedPageBreak/>
        <w:t xml:space="preserve">childhood (De Luca &amp; Leventer, 2010; Diamond, 2013; Reilly, Downer, &amp; Grimm, 2022). </w:t>
      </w:r>
      <w:del w:id="475" w:author="Revision" w:date="2026-04-24T11:50:00Z" w16du:dateUtc="2026-04-24T09:50:00Z">
        <w:r>
          <w:delText>Third</w:delText>
        </w:r>
      </w:del>
      <w:ins w:id="476" w:author="Revision" w:date="2026-04-24T11:50:00Z" w16du:dateUtc="2026-04-24T09:50:00Z">
        <w:r>
          <w:t>Fourth</w:t>
        </w:r>
      </w:ins>
      <w:r>
        <w:t>, just around their fourth birthday</w:t>
      </w:r>
      <w:del w:id="477" w:author="Revision" w:date="2026-04-24T11:50:00Z" w16du:dateUtc="2026-04-24T09:50:00Z">
        <w:r>
          <w:delText xml:space="preserve"> at 50 months of age</w:delText>
        </w:r>
      </w:del>
      <w:r>
        <w:t xml:space="preserve">, children are generally able to identify various types of analogies spontaneously in unfamiliar symbolic displays. Previous findings have challenged assumptions of domain specificity in symbol development modalities such as graphic, gestural or verbal communication and rather highlighted the flexibility of symbolic and pragmatic abilities (Callaghan, 1999). Our findings champion a similar perspective with regard to various conceptual or basic graphic dimensions and underline the flexibility of symbolic cognition across various symbol-referent relationships. For conditions that relied strongly on children to abstract from surface level features and focus on analogies in form, orientation, size and number, there is no strong evidence for sequences in the ages of success. Rather, children appear to master all symbol-referent relationships almost at the same point in time, which is highly indicative of a </w:t>
      </w:r>
      <w:del w:id="478" w:author="Revision" w:date="2026-04-24T11:50:00Z" w16du:dateUtc="2026-04-24T09:50:00Z">
        <w:r>
          <w:delText>qualitative</w:delText>
        </w:r>
      </w:del>
      <w:ins w:id="479" w:author="Revision" w:date="2026-04-24T11:50:00Z" w16du:dateUtc="2026-04-24T09:50:00Z">
        <w:r>
          <w:t>major</w:t>
        </w:r>
      </w:ins>
      <w:r>
        <w:t xml:space="preserve"> shift in pragmatic and analogical reasoning skills in the fourth year that drive children’s ability for solving communicative coordination problems</w:t>
      </w:r>
      <w:del w:id="480" w:author="Revision" w:date="2026-04-24T11:50:00Z" w16du:dateUtc="2026-04-24T09:50:00Z">
        <w:r>
          <w:delText>.</w:delText>
        </w:r>
      </w:del>
      <w:ins w:id="481" w:author="Revision" w:date="2026-04-24T11:50:00Z" w16du:dateUtc="2026-04-24T09:50:00Z">
        <w:r>
          <w:t xml:space="preserve"> (Bohn, Kachel, &amp; Tomasello, 2019).</w:t>
        </w:r>
      </w:ins>
    </w:p>
    <w:p w14:paraId="7EA19D61" w14:textId="77777777" w:rsidR="005D4CD1" w:rsidRDefault="00000000" w:rsidP="00671125">
      <w:pPr>
        <w:pStyle w:val="Textkrper"/>
        <w:jc w:val="both"/>
      </w:pPr>
      <w:r>
        <w:t xml:space="preserve">To the extent that the studies presented above highlight the fourth birthday as a milestone in symbolic development, this connects to a rich literature on major developmental shifts in this period of middle-childhood. As change at this age is again rapid and foundational across a variety of cognitive processes (Karmiloff-Smith, 1994; Rakoczy, 2022), several factors are likely to contribute to the convergence of above-chance performance across the experimental conditions used here. What has been described as the four-year-revolution in social cognition endows children with a full-fledged metarepresentational theory of mind and firmly developed belief-desire psychology (Gopnik &amp; Astington, 1988; Rakoczy, 2022; Wellman, Cross, &amp; Watson, 2001). Theory of mind performance, in turn, was shown to be correlated with representational insight into the standing-for-relationship of pictorial representations (Callaghan, Rochat, &amp; </w:t>
      </w:r>
      <w:r>
        <w:lastRenderedPageBreak/>
        <w:t xml:space="preserve">Corbit, 2012), as well as insight into communicative intent (Callaghan &amp; Rochat, 2008), and </w:t>
      </w:r>
      <w:del w:id="482" w:author="Revision" w:date="2026-04-24T11:50:00Z" w16du:dateUtc="2026-04-24T09:50:00Z">
        <w:r>
          <w:delText>qualitative</w:delText>
        </w:r>
      </w:del>
      <w:ins w:id="483" w:author="Revision" w:date="2026-04-24T11:50:00Z" w16du:dateUtc="2026-04-24T09:50:00Z">
        <w:r>
          <w:t>major</w:t>
        </w:r>
      </w:ins>
      <w:r>
        <w:t xml:space="preserve"> shifts in perspective-taking abilities (Flavell, Everett, Croft, &amp; Flavell, 1981). All of which are necessary or conducive for the flexible and spontaneous interpretation of graphic displays as well as inference-based or pragmatically challenging communicative behavior broadly construed. Specifically helpful for the tasks employed here may be developmental gains typically occurring around the fourth birthday in the domain of analogical reasoning (Christie &amp; Gentner, 2014; Gentner, 1977; Shivaram et al., 2023), which are again fostered by </w:t>
      </w:r>
      <w:del w:id="484" w:author="Revision" w:date="2026-04-24T11:50:00Z" w16du:dateUtc="2026-04-24T09:50:00Z">
        <w:r>
          <w:delText>growth in working memory (Richland et al., 2006; Simms, Frausel, &amp; Richland, 2018),</w:delText>
        </w:r>
      </w:del>
      <w:ins w:id="485" w:author="Revision" w:date="2026-04-24T11:50:00Z" w16du:dateUtc="2026-04-24T09:50:00Z">
        <w:r>
          <w:t>a suite of</w:t>
        </w:r>
      </w:ins>
      <w:r>
        <w:t xml:space="preserve"> executive </w:t>
      </w:r>
      <w:del w:id="486" w:author="Revision" w:date="2026-04-24T11:50:00Z" w16du:dateUtc="2026-04-24T09:50:00Z">
        <w:r>
          <w:delText>functions</w:delText>
        </w:r>
      </w:del>
      <w:ins w:id="487" w:author="Revision" w:date="2026-04-24T11:50:00Z" w16du:dateUtc="2026-04-24T09:50:00Z">
        <w:r>
          <w:t>function skills improving significantly during this important period in child development</w:t>
        </w:r>
      </w:ins>
      <w:r>
        <w:t xml:space="preserve"> (Bohn, Tessler, Kordt, Hausmann, &amp; Frank, 2023; Thibaut, French, &amp; </w:t>
      </w:r>
      <w:proofErr w:type="spellStart"/>
      <w:r>
        <w:t>Vezneva</w:t>
      </w:r>
      <w:proofErr w:type="spellEnd"/>
      <w:r>
        <w:t>, 2010</w:t>
      </w:r>
      <w:del w:id="488" w:author="Revision" w:date="2026-04-24T11:50:00Z" w16du:dateUtc="2026-04-24T09:50:00Z">
        <w:r>
          <w:delText>)</w:delText>
        </w:r>
      </w:del>
      <w:ins w:id="489" w:author="Revision" w:date="2026-04-24T11:50:00Z" w16du:dateUtc="2026-04-24T09:50:00Z">
        <w:r>
          <w:t xml:space="preserve">). Focusing on various aspects of the stimulus-combinations, working memory (Richland et al., 2006; Simms, </w:t>
        </w:r>
        <w:proofErr w:type="spellStart"/>
        <w:r>
          <w:t>Frausel</w:t>
        </w:r>
        <w:proofErr w:type="spellEnd"/>
        <w:r>
          <w:t>, &amp; Richland, 2018) is crucial for keeping track of features children have explored. To succeed they are furthermore required to suppress irrelevant aspects of the stimuli</w:t>
        </w:r>
      </w:ins>
      <w:r>
        <w:t xml:space="preserve"> and </w:t>
      </w:r>
      <w:del w:id="490" w:author="Revision" w:date="2026-04-24T11:50:00Z" w16du:dateUtc="2026-04-24T09:50:00Z">
        <w:r>
          <w:delText>inhibitory control</w:delText>
        </w:r>
      </w:del>
      <w:ins w:id="491" w:author="Revision" w:date="2026-04-24T11:50:00Z" w16du:dateUtc="2026-04-24T09:50:00Z">
        <w:r>
          <w:t>inhibit distracting impulses solving relatively abstract tasks</w:t>
        </w:r>
      </w:ins>
      <w:r>
        <w:t xml:space="preserve"> (Carlson &amp; Wang, 2007; Jablonski, 2014</w:t>
      </w:r>
      <w:ins w:id="492" w:author="Revision" w:date="2026-04-24T11:50:00Z" w16du:dateUtc="2026-04-24T09:50:00Z">
        <w:r>
          <w:t>). Finally, cognitive flexibility is not only key for viewing the same stimulus from different conceptual angles but also specifically for switching modes of interpretation across conditions (Cuevas et al., 2014; Willoughby, Wirth, &amp; Blair, 2012</w:t>
        </w:r>
      </w:ins>
      <w:r>
        <w:t>).</w:t>
      </w:r>
    </w:p>
    <w:p w14:paraId="191F875B" w14:textId="77777777" w:rsidR="005D4CD1" w:rsidRDefault="00000000" w:rsidP="00671125">
      <w:pPr>
        <w:pStyle w:val="Textkrper"/>
        <w:jc w:val="both"/>
      </w:pPr>
      <w:r>
        <w:t>While work on analogical reasoning abilities has highlighted that preschoolers are generally able to identify agreement in graphic displays and specifically involving size, number, and shape also at the age of four (</w:t>
      </w:r>
      <w:proofErr w:type="spellStart"/>
      <w:r>
        <w:t>Kroupin</w:t>
      </w:r>
      <w:proofErr w:type="spellEnd"/>
      <w:r>
        <w:t xml:space="preserve"> &amp; Carey, 2022b, 2022a), this has mostly been established in match-to-sample paradigms where children are conventionally presented with three items and prompted with a phrase such as “which ones go together” directly inducing the cognitive operation tested. In our task, children make matches and comparisons across various dimensions without any verbal scaffolding addressing the match-making process or the </w:t>
      </w:r>
      <w:r>
        <w:lastRenderedPageBreak/>
        <w:t xml:space="preserve">dimension of comparison and, hence, showcases abilities for implicit </w:t>
      </w:r>
      <w:del w:id="493" w:author="Revision" w:date="2026-04-24T11:50:00Z" w16du:dateUtc="2026-04-24T09:50:00Z">
        <w:r>
          <w:delText>judgements</w:delText>
        </w:r>
      </w:del>
      <w:ins w:id="494" w:author="Revision" w:date="2026-04-24T11:50:00Z" w16du:dateUtc="2026-04-24T09:50:00Z">
        <w:r>
          <w:t>judgement</w:t>
        </w:r>
      </w:ins>
      <w:r>
        <w:t xml:space="preserve"> across a wide variety of basic conceptual and visual features. Therefore, our work provides a crucial extension to the literature on analogical reasoning by showing that children can actually put their developing skills to work in the practical context of a versatile communicative coordination game requiring both relational reasoning and pragmatic inference</w:t>
      </w:r>
      <w:del w:id="495" w:author="Revision" w:date="2026-04-24T11:50:00Z" w16du:dateUtc="2026-04-24T09:50:00Z">
        <w:r>
          <w:delText>.</w:delText>
        </w:r>
      </w:del>
      <w:ins w:id="496" w:author="Revision" w:date="2026-04-24T11:50:00Z" w16du:dateUtc="2026-04-24T09:50:00Z">
        <w:r>
          <w:t xml:space="preserve"> (Cooperrider &amp; Goldin-Meadow, 2017).</w:t>
        </w:r>
      </w:ins>
    </w:p>
    <w:p w14:paraId="69985DF0" w14:textId="77777777" w:rsidR="005D4CD1" w:rsidRDefault="00000000" w:rsidP="00671125">
      <w:pPr>
        <w:pStyle w:val="Textkrper"/>
        <w:jc w:val="both"/>
      </w:pPr>
      <w:del w:id="497" w:author="Revision" w:date="2026-04-24T11:50:00Z" w16du:dateUtc="2026-04-24T09:50:00Z">
        <w:r>
          <w:delText>By design, the research described here is exploratory and has limitations that future research needs to address. A crucial</w:delText>
        </w:r>
      </w:del>
      <w:ins w:id="498" w:author="Revision" w:date="2026-04-24T11:50:00Z" w16du:dateUtc="2026-04-24T09:50:00Z">
        <w:r>
          <w:t>The studies described here have limitations that future research needs to address. The combinations of outline drawings and geometric shapes we used here could also be presented in a standard match-to-sample procedure in which children are solely asked to find a match between cue and target. When directly instructed to match stimuli and without the need for considering context, children may succeed earlier. To connect the work presented here with the literature on analogical reasoning, future work should present children with the same set of stimuli in the context of both paradigms. Another general</w:t>
        </w:r>
      </w:ins>
      <w:r>
        <w:t xml:space="preserve"> problem is that the project aims to establish robust developmental trajectories but does so only in a single, industrialized population (Henrich, Heine, &amp; </w:t>
      </w:r>
      <w:proofErr w:type="spellStart"/>
      <w:r>
        <w:t>Norenzayan</w:t>
      </w:r>
      <w:proofErr w:type="spellEnd"/>
      <w:r>
        <w:t xml:space="preserve">, 2010). Future work needs to address the role of enculturation and specifically the influence of permanent exposure to symbolic and pictorial illustrations, writing and numbers or depictions featuring canonical shapes - ideally doing so both by investigating children in various cultural settings, as well as less industrialized communities (Callaghan et al., 2012; Dehaene, Izard, Pica, &amp; </w:t>
      </w:r>
      <w:proofErr w:type="spellStart"/>
      <w:r>
        <w:t>Spelke</w:t>
      </w:r>
      <w:proofErr w:type="spellEnd"/>
      <w:r>
        <w:t xml:space="preserve">, 2006). Second, our work needs to be complemented with studies employing an individual-differences perspective to untangle the relative contributions of knowledge about various conventional systems of reference, pragmatic skills and the growth of basic level cognitive capacities. Finally, it would be highly valuable to complement the current results on the comprehension of unfamiliar symbols </w:t>
      </w:r>
      <w:r>
        <w:lastRenderedPageBreak/>
        <w:t xml:space="preserve">by establishing at what ages children would be able to use their skills in the production of graphic communication and, thereby, inform theories on the development of communication systems broadly construed (Bohn, Kachel, </w:t>
      </w:r>
      <w:del w:id="499" w:author="Revision" w:date="2026-04-24T11:50:00Z" w16du:dateUtc="2026-04-24T09:50:00Z">
        <w:r>
          <w:delText>&amp; Tomasello,</w:delText>
        </w:r>
      </w:del>
      <w:ins w:id="500" w:author="Revision" w:date="2026-04-24T11:50:00Z" w16du:dateUtc="2026-04-24T09:50:00Z">
        <w:r>
          <w:t>et al.,</w:t>
        </w:r>
      </w:ins>
      <w:r>
        <w:t xml:space="preserve"> 2019; </w:t>
      </w:r>
      <w:ins w:id="501" w:author="Revision" w:date="2026-04-24T11:50:00Z" w16du:dateUtc="2026-04-24T09:50:00Z">
        <w:r>
          <w:t xml:space="preserve">Callaghan, 1999; </w:t>
        </w:r>
      </w:ins>
      <w:proofErr w:type="spellStart"/>
      <w:r>
        <w:t>Nölle</w:t>
      </w:r>
      <w:proofErr w:type="spellEnd"/>
      <w:r>
        <w:t xml:space="preserve">, </w:t>
      </w:r>
      <w:proofErr w:type="spellStart"/>
      <w:r>
        <w:t>Fusaroli</w:t>
      </w:r>
      <w:proofErr w:type="spellEnd"/>
      <w:r>
        <w:t xml:space="preserve">, Mills, &amp; </w:t>
      </w:r>
      <w:proofErr w:type="spellStart"/>
      <w:r>
        <w:t>Tylén</w:t>
      </w:r>
      <w:proofErr w:type="spellEnd"/>
      <w:r>
        <w:t xml:space="preserve">, 2020; Raviv &amp; Arnon, 2018). The results here </w:t>
      </w:r>
      <w:del w:id="502" w:author="Revision" w:date="2026-04-24T11:50:00Z" w16du:dateUtc="2026-04-24T09:50:00Z">
        <w:r>
          <w:delText>demonstrates</w:delText>
        </w:r>
      </w:del>
      <w:ins w:id="503" w:author="Revision" w:date="2026-04-24T11:50:00Z" w16du:dateUtc="2026-04-24T09:50:00Z">
        <w:r>
          <w:t>demonstrate</w:t>
        </w:r>
      </w:ins>
      <w:r>
        <w:t xml:space="preserve"> that at least by the age of four, they would be apt receivers of symbolic creations whose reference is based on iconicity, </w:t>
      </w:r>
      <w:del w:id="504" w:author="Revision" w:date="2026-04-24T11:50:00Z" w16du:dateUtc="2026-04-24T09:50:00Z">
        <w:r>
          <w:delText>metonymy</w:delText>
        </w:r>
      </w:del>
      <w:ins w:id="505" w:author="Revision" w:date="2026-04-24T11:50:00Z" w16du:dateUtc="2026-04-24T09:50:00Z">
        <w:r>
          <w:t>synecdoche</w:t>
        </w:r>
      </w:ins>
      <w:r>
        <w:t>, alignment, orientation, as well as analogies in form, size and number.</w:t>
      </w:r>
    </w:p>
    <w:p w14:paraId="15589CA7" w14:textId="77777777" w:rsidR="005D4CD1" w:rsidRDefault="00000000" w:rsidP="00671125">
      <w:pPr>
        <w:pStyle w:val="Textkrper"/>
        <w:jc w:val="both"/>
      </w:pPr>
      <w:r>
        <w:t xml:space="preserve">Taken together, our work provides one of the most comprehensive, robust and systematic investigations of young children’s ability to find meaning in unfamiliar graphic </w:t>
      </w:r>
      <w:del w:id="506" w:author="Revision" w:date="2026-04-24T11:50:00Z" w16du:dateUtc="2026-04-24T09:50:00Z">
        <w:r>
          <w:delText>symbols</w:delText>
        </w:r>
      </w:del>
      <w:ins w:id="507" w:author="Revision" w:date="2026-04-24T11:50:00Z" w16du:dateUtc="2026-04-24T09:50:00Z">
        <w:r>
          <w:t>displays</w:t>
        </w:r>
      </w:ins>
      <w:r>
        <w:t xml:space="preserve"> and may provide a benchmark data set for the development of preschoolers symbolic competence. Its straightforward streamlined design, conceptual breadth, robust sample, and open but fine-grained statistical approach offer a reliable foundation for precisely the future work outlined here and already address an important caveat in our understanding of children’s growing aptitude in graphic communication: the conceptual space spanning from iconic to abstract graphical representation.</w:t>
      </w:r>
    </w:p>
    <w:p w14:paraId="037E6BB1" w14:textId="77777777" w:rsidR="005D4CD1" w:rsidRDefault="00000000">
      <w:r>
        <w:br w:type="page"/>
      </w:r>
    </w:p>
    <w:p w14:paraId="23F6218C" w14:textId="77777777" w:rsidR="005D4CD1" w:rsidRDefault="00000000">
      <w:pPr>
        <w:pStyle w:val="berschrift1"/>
      </w:pPr>
      <w:bookmarkStart w:id="508" w:name="references"/>
      <w:bookmarkEnd w:id="417"/>
      <w:r>
        <w:lastRenderedPageBreak/>
        <w:t>References</w:t>
      </w:r>
    </w:p>
    <w:p w14:paraId="1A390CD5" w14:textId="77777777" w:rsidR="00AE3AC5" w:rsidRDefault="00000000">
      <w:pPr>
        <w:pStyle w:val="Literaturverzeichnis"/>
        <w:rPr>
          <w:del w:id="509" w:author="Revision" w:date="2026-04-24T11:50:00Z" w16du:dateUtc="2026-04-24T09:50:00Z"/>
        </w:rPr>
      </w:pPr>
      <w:bookmarkStart w:id="510" w:name="ref-behne2012twelve"/>
      <w:bookmarkStart w:id="511" w:name="refs"/>
      <w:bookmarkStart w:id="512" w:name="ref-allen2004both"/>
      <w:del w:id="513" w:author="Revision" w:date="2026-04-24T11:50:00Z" w16du:dateUtc="2026-04-24T09:50:00Z">
        <w:r>
          <w:delText xml:space="preserve">Allen Preissler, M., &amp; Carey, S. (2004). Do both pictures and words function as symbols for 18-and 24-month-old children? </w:delText>
        </w:r>
        <w:r>
          <w:rPr>
            <w:i/>
            <w:iCs/>
          </w:rPr>
          <w:delText>Journal of Cognition and Development</w:delText>
        </w:r>
        <w:r>
          <w:delText xml:space="preserve">, </w:delText>
        </w:r>
        <w:r>
          <w:rPr>
            <w:i/>
            <w:iCs/>
          </w:rPr>
          <w:delText>5</w:delText>
        </w:r>
        <w:r>
          <w:delText>(2), 185–212.</w:delText>
        </w:r>
      </w:del>
    </w:p>
    <w:bookmarkEnd w:id="512"/>
    <w:p w14:paraId="3471ACD6" w14:textId="77777777" w:rsidR="005D4CD1" w:rsidRDefault="00000000">
      <w:pPr>
        <w:pStyle w:val="Literaturverzeichnis"/>
        <w:rPr>
          <w:ins w:id="514" w:author="Revision" w:date="2026-04-24T11:50:00Z" w16du:dateUtc="2026-04-24T09:50:00Z"/>
        </w:rPr>
      </w:pPr>
      <w:ins w:id="515" w:author="Revision" w:date="2026-04-24T11:50:00Z" w16du:dateUtc="2026-04-24T09:50:00Z">
        <w:r>
          <w:t xml:space="preserve">Behne, T., </w:t>
        </w:r>
        <w:proofErr w:type="spellStart"/>
        <w:r>
          <w:t>Liszkowski</w:t>
        </w:r>
        <w:proofErr w:type="spellEnd"/>
        <w:r>
          <w:t xml:space="preserve">, U., Carpenter, M., &amp; Tomasello, M. (2012). Twelve-month-olds’ comprehension and production of pointing. </w:t>
        </w:r>
        <w:r>
          <w:rPr>
            <w:i/>
            <w:iCs/>
          </w:rPr>
          <w:t>British Journal of Developmental Psychology</w:t>
        </w:r>
        <w:r>
          <w:t xml:space="preserve">, </w:t>
        </w:r>
        <w:r>
          <w:rPr>
            <w:i/>
            <w:iCs/>
          </w:rPr>
          <w:t>30</w:t>
        </w:r>
        <w:r>
          <w:t>(3), 359–375.</w:t>
        </w:r>
      </w:ins>
    </w:p>
    <w:p w14:paraId="08005155" w14:textId="77777777" w:rsidR="005D4CD1" w:rsidRDefault="00000000">
      <w:pPr>
        <w:pStyle w:val="Literaturverzeichnis"/>
      </w:pPr>
      <w:bookmarkStart w:id="516" w:name="ref-bermudez2020sound"/>
      <w:bookmarkEnd w:id="510"/>
      <w:r>
        <w:t xml:space="preserve">Bermúdez, N. (2020). Sound symbolism. </w:t>
      </w:r>
      <w:r>
        <w:rPr>
          <w:i/>
          <w:iCs/>
        </w:rPr>
        <w:t>The International Encyclopedia of Linguistic Anthropology</w:t>
      </w:r>
      <w:r>
        <w:t>, 1–3.</w:t>
      </w:r>
    </w:p>
    <w:p w14:paraId="0F3CD737" w14:textId="77777777" w:rsidR="005D4CD1" w:rsidRDefault="00000000">
      <w:pPr>
        <w:pStyle w:val="Literaturverzeichnis"/>
      </w:pPr>
      <w:bookmarkStart w:id="517" w:name="ref-blades1994development"/>
      <w:bookmarkEnd w:id="516"/>
      <w:r>
        <w:t xml:space="preserve">Blades, M., &amp; Spencer, C. (1994). The development of children’s ability to use spatial representations. </w:t>
      </w:r>
      <w:r>
        <w:rPr>
          <w:i/>
          <w:iCs/>
        </w:rPr>
        <w:t>Advances in Child Development and Behavior</w:t>
      </w:r>
      <w:r>
        <w:t xml:space="preserve">, </w:t>
      </w:r>
      <w:r>
        <w:rPr>
          <w:i/>
          <w:iCs/>
        </w:rPr>
        <w:t>25</w:t>
      </w:r>
      <w:r>
        <w:t>, 157–199.</w:t>
      </w:r>
    </w:p>
    <w:p w14:paraId="2C190856" w14:textId="77777777" w:rsidR="005D4CD1" w:rsidRDefault="00000000">
      <w:pPr>
        <w:pStyle w:val="Literaturverzeichnis"/>
      </w:pPr>
      <w:bookmarkStart w:id="518" w:name="ref-bloom1998intention"/>
      <w:bookmarkEnd w:id="517"/>
      <w:r>
        <w:t xml:space="preserve">Bloom, P., &amp; Markson, L. (1998). Intention and analogy in children’s naming of pictorial representations. </w:t>
      </w:r>
      <w:r>
        <w:rPr>
          <w:i/>
          <w:iCs/>
        </w:rPr>
        <w:t>Psychological Science</w:t>
      </w:r>
      <w:r>
        <w:t xml:space="preserve">, </w:t>
      </w:r>
      <w:r>
        <w:rPr>
          <w:i/>
          <w:iCs/>
        </w:rPr>
        <w:t>9</w:t>
      </w:r>
      <w:r>
        <w:t>(3), 200–204.</w:t>
      </w:r>
    </w:p>
    <w:p w14:paraId="57619D4A" w14:textId="77777777" w:rsidR="005D4CD1" w:rsidRDefault="00000000">
      <w:pPr>
        <w:pStyle w:val="Literaturverzeichnis"/>
      </w:pPr>
      <w:bookmarkStart w:id="519" w:name="ref-bohn2019natural"/>
      <w:bookmarkEnd w:id="518"/>
      <w:r>
        <w:t xml:space="preserve">Bohn, M., Call, J., &amp; Tomasello, M. (2019). Natural reference: A </w:t>
      </w:r>
      <w:proofErr w:type="spellStart"/>
      <w:r>
        <w:t>phylo</w:t>
      </w:r>
      <w:proofErr w:type="spellEnd"/>
      <w:r>
        <w:t xml:space="preserve">-and ontogenetic perspective on the comprehension of iconic gestures and vocalizations. </w:t>
      </w:r>
      <w:r>
        <w:rPr>
          <w:i/>
          <w:iCs/>
        </w:rPr>
        <w:t>Developmental Science</w:t>
      </w:r>
      <w:r>
        <w:t xml:space="preserve">, </w:t>
      </w:r>
      <w:r>
        <w:rPr>
          <w:i/>
          <w:iCs/>
        </w:rPr>
        <w:t>22</w:t>
      </w:r>
      <w:r>
        <w:t>(2), e12757.</w:t>
      </w:r>
    </w:p>
    <w:p w14:paraId="56DBF5C0" w14:textId="77777777" w:rsidR="005D4CD1" w:rsidRDefault="00000000">
      <w:pPr>
        <w:pStyle w:val="Literaturverzeichnis"/>
      </w:pPr>
      <w:bookmarkStart w:id="520" w:name="ref-bohn2019young"/>
      <w:bookmarkEnd w:id="519"/>
      <w:r>
        <w:t xml:space="preserve">Bohn, M., Kachel, G., &amp; Tomasello, M. (2019). Young children spontaneously recreate core properties of language in a new modality. </w:t>
      </w:r>
      <w:r>
        <w:rPr>
          <w:i/>
          <w:iCs/>
        </w:rPr>
        <w:t>Proceedings of the National Academy of Sciences</w:t>
      </w:r>
      <w:r>
        <w:t xml:space="preserve">, </w:t>
      </w:r>
      <w:r>
        <w:rPr>
          <w:i/>
          <w:iCs/>
        </w:rPr>
        <w:t>116</w:t>
      </w:r>
      <w:r>
        <w:t>(51), 26072–26077.</w:t>
      </w:r>
    </w:p>
    <w:p w14:paraId="4F6FA6BC" w14:textId="77777777" w:rsidR="005D4CD1" w:rsidRDefault="00000000">
      <w:pPr>
        <w:pStyle w:val="Literaturverzeichnis"/>
      </w:pPr>
      <w:bookmarkStart w:id="521" w:name="ref-bohn2023individual"/>
      <w:bookmarkEnd w:id="520"/>
      <w:r>
        <w:t xml:space="preserve">Bohn, M., Tessler, M. H., Kordt, C., Hausmann, T., &amp; Frank, M. C. (2023). An individual differences perspective on pragmatic abilities in the preschool years. </w:t>
      </w:r>
      <w:r>
        <w:rPr>
          <w:i/>
          <w:iCs/>
        </w:rPr>
        <w:t>Developmental Science</w:t>
      </w:r>
      <w:r>
        <w:t xml:space="preserve">, </w:t>
      </w:r>
      <w:r>
        <w:rPr>
          <w:i/>
          <w:iCs/>
        </w:rPr>
        <w:t>26</w:t>
      </w:r>
      <w:r>
        <w:t>(6), e13401.</w:t>
      </w:r>
    </w:p>
    <w:p w14:paraId="095C47ED" w14:textId="77777777" w:rsidR="005D4CD1" w:rsidRDefault="00000000">
      <w:pPr>
        <w:pStyle w:val="Literaturverzeichnis"/>
      </w:pPr>
      <w:bookmarkStart w:id="522" w:name="ref-Bruner1996culture"/>
      <w:bookmarkEnd w:id="521"/>
      <w:r>
        <w:lastRenderedPageBreak/>
        <w:t xml:space="preserve">Bruner, J. S. (1996). </w:t>
      </w:r>
      <w:r>
        <w:rPr>
          <w:i/>
          <w:iCs/>
        </w:rPr>
        <w:t>The culture of education</w:t>
      </w:r>
      <w:r>
        <w:t>. Harvard University Press.</w:t>
      </w:r>
    </w:p>
    <w:p w14:paraId="34400978" w14:textId="77777777" w:rsidR="005D4CD1" w:rsidRDefault="00000000">
      <w:pPr>
        <w:pStyle w:val="Literaturverzeichnis"/>
      </w:pPr>
      <w:bookmarkStart w:id="523" w:name="ref-burkner2017brms"/>
      <w:bookmarkEnd w:id="522"/>
      <w:proofErr w:type="spellStart"/>
      <w:r>
        <w:t>Bürkner</w:t>
      </w:r>
      <w:proofErr w:type="spellEnd"/>
      <w:r>
        <w:t xml:space="preserve">, P.-C. (2017). Brms: An r package for </w:t>
      </w:r>
      <w:proofErr w:type="spellStart"/>
      <w:r>
        <w:t>bayesian</w:t>
      </w:r>
      <w:proofErr w:type="spellEnd"/>
      <w:r>
        <w:t xml:space="preserve"> multilevel models using stan. </w:t>
      </w:r>
      <w:r>
        <w:rPr>
          <w:i/>
          <w:iCs/>
        </w:rPr>
        <w:t>Journal of Statistical Software</w:t>
      </w:r>
      <w:r>
        <w:t xml:space="preserve">, </w:t>
      </w:r>
      <w:r>
        <w:rPr>
          <w:i/>
          <w:iCs/>
        </w:rPr>
        <w:t>80</w:t>
      </w:r>
      <w:r>
        <w:t>, 1–28.</w:t>
      </w:r>
    </w:p>
    <w:p w14:paraId="17B8072E" w14:textId="77777777" w:rsidR="005D4CD1" w:rsidRDefault="00000000">
      <w:pPr>
        <w:pStyle w:val="Literaturverzeichnis"/>
        <w:rPr>
          <w:ins w:id="524" w:author="Revision" w:date="2026-04-24T11:50:00Z" w16du:dateUtc="2026-04-24T09:50:00Z"/>
        </w:rPr>
      </w:pPr>
      <w:bookmarkStart w:id="525" w:name="ref-callaghan1990texture"/>
      <w:bookmarkEnd w:id="523"/>
      <w:r>
        <w:t>Callaghan, T. (</w:t>
      </w:r>
      <w:ins w:id="526" w:author="Revision" w:date="2026-04-24T11:50:00Z" w16du:dateUtc="2026-04-24T09:50:00Z">
        <w:r>
          <w:t xml:space="preserve">1990). Texture segregation in young children. In </w:t>
        </w:r>
        <w:r>
          <w:rPr>
            <w:i/>
            <w:iCs/>
          </w:rPr>
          <w:t>Advances in psychology</w:t>
        </w:r>
        <w:r>
          <w:t xml:space="preserve"> (Vol. 69, pp. 175–195). Elsevier.</w:t>
        </w:r>
      </w:ins>
    </w:p>
    <w:p w14:paraId="09F8273D" w14:textId="77777777" w:rsidR="005D4CD1" w:rsidRDefault="00000000">
      <w:pPr>
        <w:pStyle w:val="Literaturverzeichnis"/>
      </w:pPr>
      <w:bookmarkStart w:id="527" w:name="ref-callaghan1999early"/>
      <w:bookmarkEnd w:id="525"/>
      <w:ins w:id="528" w:author="Revision" w:date="2026-04-24T11:50:00Z" w16du:dateUtc="2026-04-24T09:50:00Z">
        <w:r>
          <w:t>Callaghan, T. (</w:t>
        </w:r>
      </w:ins>
      <w:r>
        <w:t xml:space="preserve">1999). Early understanding and production of graphic symbols. </w:t>
      </w:r>
      <w:r>
        <w:rPr>
          <w:i/>
          <w:iCs/>
        </w:rPr>
        <w:t>Child Development</w:t>
      </w:r>
      <w:r>
        <w:t xml:space="preserve">, </w:t>
      </w:r>
      <w:r>
        <w:rPr>
          <w:i/>
          <w:iCs/>
        </w:rPr>
        <w:t>70</w:t>
      </w:r>
      <w:r>
        <w:t>(6), 1314–1324.</w:t>
      </w:r>
    </w:p>
    <w:p w14:paraId="1005F321" w14:textId="77777777" w:rsidR="005D4CD1" w:rsidRDefault="00000000">
      <w:pPr>
        <w:pStyle w:val="Literaturverzeichnis"/>
      </w:pPr>
      <w:bookmarkStart w:id="529" w:name="ref-callaghan2000factors"/>
      <w:bookmarkEnd w:id="527"/>
      <w:r>
        <w:t xml:space="preserve">Callaghan, T. (2000). Factors affecting children’s graphic symbol use in the third year: Language, similarity, and iconicity. </w:t>
      </w:r>
      <w:r>
        <w:rPr>
          <w:i/>
          <w:iCs/>
        </w:rPr>
        <w:t>Cognitive Development</w:t>
      </w:r>
      <w:r>
        <w:t xml:space="preserve">, </w:t>
      </w:r>
      <w:r>
        <w:rPr>
          <w:i/>
          <w:iCs/>
        </w:rPr>
        <w:t>15</w:t>
      </w:r>
      <w:r>
        <w:t>(2), 185–214.</w:t>
      </w:r>
    </w:p>
    <w:p w14:paraId="4F4CF3A8" w14:textId="77777777" w:rsidR="005D4CD1" w:rsidRDefault="00000000">
      <w:pPr>
        <w:pStyle w:val="Literaturverzeichnis"/>
      </w:pPr>
      <w:bookmarkStart w:id="530" w:name="ref-callaghan2015development"/>
      <w:bookmarkEnd w:id="529"/>
      <w:r>
        <w:t xml:space="preserve">Callaghan, T., &amp; Corbit, J. (2015). The development of symbolic representation. In R. M. Lerner (Ed.), </w:t>
      </w:r>
      <w:r>
        <w:rPr>
          <w:i/>
          <w:iCs/>
        </w:rPr>
        <w:t>Handbook of child psychology and developmental science</w:t>
      </w:r>
      <w:r>
        <w:t xml:space="preserve">. Wiley. </w:t>
      </w:r>
      <w:hyperlink r:id="rId17">
        <w:r>
          <w:rPr>
            <w:rStyle w:val="Hyperlink"/>
          </w:rPr>
          <w:t>https://doi.org/10.1002/9781118963418.childpsy207</w:t>
        </w:r>
      </w:hyperlink>
    </w:p>
    <w:p w14:paraId="562C567C" w14:textId="77777777" w:rsidR="005D4CD1" w:rsidRDefault="00000000">
      <w:pPr>
        <w:pStyle w:val="Literaturverzeichnis"/>
      </w:pPr>
      <w:bookmarkStart w:id="531" w:name="ref-callaghan2008artist"/>
      <w:bookmarkEnd w:id="530"/>
      <w:r>
        <w:t>Callaghan, T., &amp; Rochat, P. (2008). Children’s understanding of artist-picture relations: Implications for their theories of pictures. In C. Milbrath &amp; H</w:t>
      </w:r>
      <w:del w:id="532" w:author="Revision" w:date="2026-04-24T11:50:00Z" w16du:dateUtc="2026-04-24T09:50:00Z">
        <w:r>
          <w:delText xml:space="preserve">. </w:delText>
        </w:r>
      </w:del>
      <w:ins w:id="533" w:author="Revision" w:date="2026-04-24T11:50:00Z" w16du:dateUtc="2026-04-24T09:50:00Z">
        <w:r>
          <w:t>.-</w:t>
        </w:r>
      </w:ins>
      <w:r>
        <w:t xml:space="preserve">M. Trautner (Eds.), </w:t>
      </w:r>
      <w:r>
        <w:rPr>
          <w:i/>
          <w:iCs/>
        </w:rPr>
        <w:t>Children’s understanding and production of pictures, drawings, and art</w:t>
      </w:r>
      <w:del w:id="534" w:author="Revision" w:date="2026-04-24T11:50:00Z" w16du:dateUtc="2026-04-24T09:50:00Z">
        <w:r>
          <w:rPr>
            <w:i/>
            <w:iCs/>
          </w:rPr>
          <w:delText>: Theoretical and empirical approaches</w:delText>
        </w:r>
      </w:del>
      <w:r>
        <w:t xml:space="preserve"> (pp. 187–205). </w:t>
      </w:r>
      <w:ins w:id="535" w:author="Revision" w:date="2026-04-24T11:50:00Z" w16du:dateUtc="2026-04-24T09:50:00Z">
        <w:r>
          <w:t xml:space="preserve">Cambridge, MA: </w:t>
        </w:r>
      </w:ins>
      <w:r>
        <w:t>Hogrefe &amp; Huber</w:t>
      </w:r>
      <w:del w:id="536" w:author="Revision" w:date="2026-04-24T11:50:00Z" w16du:dateUtc="2026-04-24T09:50:00Z">
        <w:r>
          <w:delText xml:space="preserve"> Publishers</w:delText>
        </w:r>
      </w:del>
      <w:r>
        <w:t>.</w:t>
      </w:r>
    </w:p>
    <w:p w14:paraId="7DFEC6CF" w14:textId="77777777" w:rsidR="005D4CD1" w:rsidRDefault="00000000">
      <w:pPr>
        <w:pStyle w:val="Literaturverzeichnis"/>
      </w:pPr>
      <w:bookmarkStart w:id="537" w:name="ref-callaghan2012young"/>
      <w:bookmarkEnd w:id="531"/>
      <w:r>
        <w:t xml:space="preserve">Callaghan, T., Rochat, P., &amp; Corbit, J. (2012). Young children’s knowledge of the representational function of pictorial symbols: Development across the preschool years in three cultures. </w:t>
      </w:r>
      <w:r>
        <w:rPr>
          <w:i/>
          <w:iCs/>
        </w:rPr>
        <w:t>Journal of Cognition and Development</w:t>
      </w:r>
      <w:r>
        <w:t xml:space="preserve">, </w:t>
      </w:r>
      <w:r>
        <w:rPr>
          <w:i/>
          <w:iCs/>
        </w:rPr>
        <w:t>13</w:t>
      </w:r>
      <w:r>
        <w:t>(3), 320–353.</w:t>
      </w:r>
    </w:p>
    <w:p w14:paraId="321DE564" w14:textId="77777777" w:rsidR="005D4CD1" w:rsidRDefault="00000000">
      <w:pPr>
        <w:pStyle w:val="Literaturverzeichnis"/>
      </w:pPr>
      <w:bookmarkStart w:id="538" w:name="ref-carey2000origin"/>
      <w:bookmarkEnd w:id="537"/>
      <w:r>
        <w:t xml:space="preserve">Carey, S. (2000). The origin of concepts. </w:t>
      </w:r>
      <w:r>
        <w:rPr>
          <w:i/>
          <w:iCs/>
        </w:rPr>
        <w:t>Journal of Cognition and Development</w:t>
      </w:r>
      <w:r>
        <w:t xml:space="preserve">, </w:t>
      </w:r>
      <w:r>
        <w:rPr>
          <w:i/>
          <w:iCs/>
        </w:rPr>
        <w:t>1</w:t>
      </w:r>
      <w:r>
        <w:t>(1), 37–41.</w:t>
      </w:r>
    </w:p>
    <w:p w14:paraId="3FF60046" w14:textId="77777777" w:rsidR="005D4CD1" w:rsidRDefault="00000000">
      <w:pPr>
        <w:pStyle w:val="Literaturverzeichnis"/>
      </w:pPr>
      <w:bookmarkStart w:id="539" w:name="ref-carey2019ontogenetic"/>
      <w:bookmarkEnd w:id="538"/>
      <w:r>
        <w:lastRenderedPageBreak/>
        <w:t xml:space="preserve">Carey, S., &amp; Barner, D. (2019). Ontogenetic origins of human integer representations. </w:t>
      </w:r>
      <w:r>
        <w:rPr>
          <w:i/>
          <w:iCs/>
        </w:rPr>
        <w:t>Trends in Cognitive Sciences</w:t>
      </w:r>
      <w:r>
        <w:t xml:space="preserve">, </w:t>
      </w:r>
      <w:r>
        <w:rPr>
          <w:i/>
          <w:iCs/>
        </w:rPr>
        <w:t>23</w:t>
      </w:r>
      <w:r>
        <w:t>(10), 823–835.</w:t>
      </w:r>
    </w:p>
    <w:p w14:paraId="5B755A31" w14:textId="77777777" w:rsidR="005D4CD1" w:rsidRDefault="00000000">
      <w:pPr>
        <w:pStyle w:val="Literaturverzeichnis"/>
      </w:pPr>
      <w:bookmarkStart w:id="540" w:name="ref-carlson2007inhibitory"/>
      <w:bookmarkEnd w:id="539"/>
      <w:r>
        <w:t xml:space="preserve">Carlson, S. M., &amp; Wang, T. S. (2007). Inhibitory control and emotion regulation in preschool children. </w:t>
      </w:r>
      <w:r>
        <w:rPr>
          <w:i/>
          <w:iCs/>
        </w:rPr>
        <w:t>Cognitive Development</w:t>
      </w:r>
      <w:r>
        <w:t xml:space="preserve">, </w:t>
      </w:r>
      <w:r>
        <w:rPr>
          <w:i/>
          <w:iCs/>
        </w:rPr>
        <w:t>22</w:t>
      </w:r>
      <w:r>
        <w:t>(4), 489–510.</w:t>
      </w:r>
    </w:p>
    <w:p w14:paraId="4011DEB2" w14:textId="77777777" w:rsidR="005D4CD1" w:rsidRDefault="00000000">
      <w:pPr>
        <w:pStyle w:val="Literaturverzeichnis"/>
      </w:pPr>
      <w:bookmarkStart w:id="541" w:name="ref-christie2014language"/>
      <w:bookmarkEnd w:id="540"/>
      <w:r>
        <w:t xml:space="preserve">Christie, S., &amp; Gentner, D. (2014). Language helps children succeed on a classic analogy task. </w:t>
      </w:r>
      <w:r>
        <w:rPr>
          <w:i/>
          <w:iCs/>
        </w:rPr>
        <w:t>Cognitive Science</w:t>
      </w:r>
      <w:r>
        <w:t xml:space="preserve">, </w:t>
      </w:r>
      <w:r>
        <w:rPr>
          <w:i/>
          <w:iCs/>
        </w:rPr>
        <w:t>38</w:t>
      </w:r>
      <w:r>
        <w:t>(2), 383–397.</w:t>
      </w:r>
    </w:p>
    <w:p w14:paraId="089924CA" w14:textId="77777777" w:rsidR="005D4CD1" w:rsidRDefault="00000000">
      <w:pPr>
        <w:pStyle w:val="Literaturverzeichnis"/>
      </w:pPr>
      <w:bookmarkStart w:id="542" w:name="ref-cleveland1984graphical"/>
      <w:bookmarkEnd w:id="541"/>
      <w:r>
        <w:t xml:space="preserve">Cleveland, W. S., &amp; McGill, R. (1984). Graphical perception: Theory, experimentation, and application to the development of graphical methods. </w:t>
      </w:r>
      <w:r>
        <w:rPr>
          <w:i/>
          <w:iCs/>
        </w:rPr>
        <w:t>Journal of the American Statistical Association</w:t>
      </w:r>
      <w:r>
        <w:t xml:space="preserve">, </w:t>
      </w:r>
      <w:r>
        <w:rPr>
          <w:i/>
          <w:iCs/>
        </w:rPr>
        <w:t>79</w:t>
      </w:r>
      <w:r>
        <w:t>(387), 531–554.</w:t>
      </w:r>
    </w:p>
    <w:p w14:paraId="76250FDA" w14:textId="77777777" w:rsidR="005D4CD1" w:rsidRDefault="00000000">
      <w:pPr>
        <w:pStyle w:val="Literaturverzeichnis"/>
      </w:pPr>
      <w:bookmarkStart w:id="543" w:name="ref-cooperrider2019career"/>
      <w:bookmarkEnd w:id="542"/>
      <w:r>
        <w:t xml:space="preserve">Cooperrider, K., &amp; Gentner, D. (2019). The career of measurement. </w:t>
      </w:r>
      <w:r>
        <w:rPr>
          <w:i/>
          <w:iCs/>
        </w:rPr>
        <w:t>Cognition</w:t>
      </w:r>
      <w:r>
        <w:t xml:space="preserve">, </w:t>
      </w:r>
      <w:r>
        <w:rPr>
          <w:i/>
          <w:iCs/>
        </w:rPr>
        <w:t>191</w:t>
      </w:r>
      <w:r>
        <w:t>, 103942.</w:t>
      </w:r>
    </w:p>
    <w:p w14:paraId="06DE206D" w14:textId="77777777" w:rsidR="005D4CD1" w:rsidRDefault="00000000">
      <w:pPr>
        <w:pStyle w:val="Literaturverzeichnis"/>
        <w:rPr>
          <w:ins w:id="544" w:author="Revision" w:date="2026-04-24T11:50:00Z" w16du:dateUtc="2026-04-24T09:50:00Z"/>
        </w:rPr>
      </w:pPr>
      <w:bookmarkStart w:id="545" w:name="ref-cooperrider2017gesture"/>
      <w:bookmarkEnd w:id="543"/>
      <w:ins w:id="546" w:author="Revision" w:date="2026-04-24T11:50:00Z" w16du:dateUtc="2026-04-24T09:50:00Z">
        <w:r>
          <w:t xml:space="preserve">Cooperrider, K., &amp; Goldin-Meadow, S. (2017). When gesture becomes analogy. </w:t>
        </w:r>
        <w:r>
          <w:rPr>
            <w:i/>
            <w:iCs/>
          </w:rPr>
          <w:t>Topics in Cognitive Science</w:t>
        </w:r>
        <w:r>
          <w:t xml:space="preserve">, </w:t>
        </w:r>
        <w:r>
          <w:rPr>
            <w:i/>
            <w:iCs/>
          </w:rPr>
          <w:t>9</w:t>
        </w:r>
        <w:r>
          <w:t>(3), 719–737.</w:t>
        </w:r>
      </w:ins>
    </w:p>
    <w:p w14:paraId="128E9D63" w14:textId="77777777" w:rsidR="005D4CD1" w:rsidRDefault="00000000">
      <w:pPr>
        <w:pStyle w:val="Literaturverzeichnis"/>
      </w:pPr>
      <w:bookmarkStart w:id="547" w:name="ref-cox2005pictorial"/>
      <w:bookmarkEnd w:id="545"/>
      <w:r>
        <w:t xml:space="preserve">Cox, M. (2005). </w:t>
      </w:r>
      <w:r>
        <w:rPr>
          <w:i/>
          <w:iCs/>
        </w:rPr>
        <w:t>The pictorial world of the child</w:t>
      </w:r>
      <w:r>
        <w:t>. Cambridge University Press.</w:t>
      </w:r>
    </w:p>
    <w:p w14:paraId="0438A3C1" w14:textId="77777777" w:rsidR="005D4CD1" w:rsidRDefault="00000000">
      <w:pPr>
        <w:pStyle w:val="Literaturverzeichnis"/>
        <w:rPr>
          <w:ins w:id="548" w:author="Revision" w:date="2026-04-24T11:50:00Z" w16du:dateUtc="2026-04-24T09:50:00Z"/>
        </w:rPr>
      </w:pPr>
      <w:bookmarkStart w:id="549" w:name="ref-cuevas2014longitudinal"/>
      <w:bookmarkEnd w:id="547"/>
      <w:ins w:id="550" w:author="Revision" w:date="2026-04-24T11:50:00Z" w16du:dateUtc="2026-04-24T09:50:00Z">
        <w:r>
          <w:t xml:space="preserve">Cuevas, K., Deater-Deckard, K., Kim-Spoon, J., Wang, Z., Morasch, K. C., &amp; Bell, M. A. (2014). A longitudinal intergenerational analysis of executive functions during early childhood. </w:t>
        </w:r>
        <w:r>
          <w:rPr>
            <w:i/>
            <w:iCs/>
          </w:rPr>
          <w:t>British Journal of Developmental Psychology</w:t>
        </w:r>
        <w:r>
          <w:t xml:space="preserve">, </w:t>
        </w:r>
        <w:r>
          <w:rPr>
            <w:i/>
            <w:iCs/>
          </w:rPr>
          <w:t>32</w:t>
        </w:r>
        <w:r>
          <w:t>(1), 50–64.</w:t>
        </w:r>
      </w:ins>
    </w:p>
    <w:p w14:paraId="0BEECCDA" w14:textId="77777777" w:rsidR="005D4CD1" w:rsidRDefault="00000000">
      <w:pPr>
        <w:pStyle w:val="Literaturverzeichnis"/>
      </w:pPr>
      <w:bookmarkStart w:id="551" w:name="ref-cwiek2022bouba"/>
      <w:bookmarkEnd w:id="549"/>
      <w:proofErr w:type="spellStart"/>
      <w:r>
        <w:t>Ćwiek</w:t>
      </w:r>
      <w:proofErr w:type="spellEnd"/>
      <w:r>
        <w:t xml:space="preserve">, A., Fuchs, S., Draxler, C., Asu, E. L., Dediu, D., </w:t>
      </w:r>
      <w:proofErr w:type="spellStart"/>
      <w:r>
        <w:t>Hiovain</w:t>
      </w:r>
      <w:proofErr w:type="spellEnd"/>
      <w:r>
        <w:t xml:space="preserve">, K., et </w:t>
      </w:r>
      <w:proofErr w:type="spellStart"/>
      <w:r>
        <w:t>al.others</w:t>
      </w:r>
      <w:proofErr w:type="spellEnd"/>
      <w:r>
        <w:t xml:space="preserve">. (2022). The </w:t>
      </w:r>
      <w:proofErr w:type="spellStart"/>
      <w:r>
        <w:t>bouba</w:t>
      </w:r>
      <w:proofErr w:type="spellEnd"/>
      <w:r>
        <w:t>/</w:t>
      </w:r>
      <w:proofErr w:type="spellStart"/>
      <w:r>
        <w:t>kiki</w:t>
      </w:r>
      <w:proofErr w:type="spellEnd"/>
      <w:r>
        <w:t xml:space="preserve"> effect is robust across cultures and writing systems. </w:t>
      </w:r>
      <w:r>
        <w:rPr>
          <w:i/>
          <w:iCs/>
        </w:rPr>
        <w:t>Philosophical Transactions of the Royal Society B</w:t>
      </w:r>
      <w:r>
        <w:t xml:space="preserve">, </w:t>
      </w:r>
      <w:r>
        <w:rPr>
          <w:i/>
          <w:iCs/>
        </w:rPr>
        <w:t>377</w:t>
      </w:r>
      <w:r>
        <w:t>(1841), 20200390.</w:t>
      </w:r>
    </w:p>
    <w:p w14:paraId="07D2D853" w14:textId="77777777" w:rsidR="00AE3AC5" w:rsidRDefault="00000000">
      <w:pPr>
        <w:pStyle w:val="Literaturverzeichnis"/>
        <w:rPr>
          <w:del w:id="552" w:author="Revision" w:date="2026-04-24T11:50:00Z" w16du:dateUtc="2026-04-24T09:50:00Z"/>
        </w:rPr>
      </w:pPr>
      <w:bookmarkStart w:id="553" w:name="ref-daugli2016young"/>
      <w:del w:id="554" w:author="Revision" w:date="2026-04-24T11:50:00Z" w16du:dateUtc="2026-04-24T09:50:00Z">
        <w:r>
          <w:lastRenderedPageBreak/>
          <w:delText xml:space="preserve">Dağlı, Ü. Y., &amp; Halat, E. (2016). Young children’s conceptual understanding of triangle. </w:delText>
        </w:r>
        <w:r>
          <w:rPr>
            <w:i/>
            <w:iCs/>
          </w:rPr>
          <w:delText>Eurasia Journal of Mathematics, Science and Technology Education</w:delText>
        </w:r>
        <w:r>
          <w:delText xml:space="preserve">, </w:delText>
        </w:r>
        <w:r>
          <w:rPr>
            <w:i/>
            <w:iCs/>
          </w:rPr>
          <w:delText>12</w:delText>
        </w:r>
        <w:r>
          <w:delText>(2), 189–202.</w:delText>
        </w:r>
      </w:del>
    </w:p>
    <w:p w14:paraId="63358156" w14:textId="77777777" w:rsidR="005D4CD1" w:rsidRDefault="00000000">
      <w:pPr>
        <w:pStyle w:val="Literaturverzeichnis"/>
      </w:pPr>
      <w:bookmarkStart w:id="555" w:name="ref-daucourt2021home"/>
      <w:bookmarkEnd w:id="551"/>
      <w:bookmarkEnd w:id="553"/>
      <w:proofErr w:type="spellStart"/>
      <w:r>
        <w:t>Daucourt</w:t>
      </w:r>
      <w:proofErr w:type="spellEnd"/>
      <w:r>
        <w:t xml:space="preserve">, M. C., Napoli, A. R., Quinn, J. M., Wood, S. G., &amp; Hart, S. A. (2021). The home math environment and math achievement: A meta-analysis. </w:t>
      </w:r>
      <w:r>
        <w:rPr>
          <w:i/>
          <w:iCs/>
        </w:rPr>
        <w:t>Psychological Bulletin</w:t>
      </w:r>
      <w:r>
        <w:t xml:space="preserve">, </w:t>
      </w:r>
      <w:r>
        <w:rPr>
          <w:i/>
          <w:iCs/>
        </w:rPr>
        <w:t>147</w:t>
      </w:r>
      <w:r>
        <w:t>(6), 565.</w:t>
      </w:r>
    </w:p>
    <w:p w14:paraId="16AFBEA6" w14:textId="77777777" w:rsidR="005D4CD1" w:rsidRDefault="00000000">
      <w:pPr>
        <w:pStyle w:val="Literaturverzeichnis"/>
      </w:pPr>
      <w:bookmarkStart w:id="556" w:name="ref-deluca2010developmental"/>
      <w:bookmarkEnd w:id="555"/>
      <w:r>
        <w:t xml:space="preserve">De Luca, C. R., &amp; Leventer, R. J. (2010). Developmental trajectories of executive functions across the lifespan. In </w:t>
      </w:r>
      <w:r>
        <w:rPr>
          <w:i/>
          <w:iCs/>
        </w:rPr>
        <w:t>Executive functions and the frontal lobes</w:t>
      </w:r>
      <w:r>
        <w:t xml:space="preserve"> (pp. 57–90). Psychology Press.</w:t>
      </w:r>
    </w:p>
    <w:p w14:paraId="6F31AA30" w14:textId="77777777" w:rsidR="005D4CD1" w:rsidRDefault="00000000">
      <w:pPr>
        <w:pStyle w:val="Literaturverzeichnis"/>
      </w:pPr>
      <w:bookmarkStart w:id="557" w:name="ref-Dehaene2009reading"/>
      <w:bookmarkEnd w:id="556"/>
      <w:r>
        <w:t xml:space="preserve">Dehaene, S. (2009). </w:t>
      </w:r>
      <w:r>
        <w:rPr>
          <w:i/>
          <w:iCs/>
        </w:rPr>
        <w:t>Reading in the brain: The new science of how we read</w:t>
      </w:r>
      <w:r>
        <w:t>. New York: Penguin.</w:t>
      </w:r>
    </w:p>
    <w:p w14:paraId="5F5AE301" w14:textId="77777777" w:rsidR="005D4CD1" w:rsidRDefault="00000000">
      <w:pPr>
        <w:pStyle w:val="Literaturverzeichnis"/>
      </w:pPr>
      <w:bookmarkStart w:id="558" w:name="ref-dehaene2006core"/>
      <w:bookmarkEnd w:id="557"/>
      <w:r>
        <w:t xml:space="preserve">Dehaene, S., Izard, V., Pica, P., &amp; </w:t>
      </w:r>
      <w:proofErr w:type="spellStart"/>
      <w:r>
        <w:t>Spelke</w:t>
      </w:r>
      <w:proofErr w:type="spellEnd"/>
      <w:r>
        <w:t xml:space="preserve">, E. (2006). Core knowledge of geometry in an amazonian indigene group. </w:t>
      </w:r>
      <w:r>
        <w:rPr>
          <w:i/>
          <w:iCs/>
        </w:rPr>
        <w:t>Science</w:t>
      </w:r>
      <w:r>
        <w:t xml:space="preserve">, </w:t>
      </w:r>
      <w:r>
        <w:rPr>
          <w:i/>
          <w:iCs/>
        </w:rPr>
        <w:t>311</w:t>
      </w:r>
      <w:r>
        <w:t>(5759), 381–384.</w:t>
      </w:r>
    </w:p>
    <w:p w14:paraId="3CC38909" w14:textId="77777777" w:rsidR="005D4CD1" w:rsidRDefault="00000000">
      <w:pPr>
        <w:pStyle w:val="Literaturverzeichnis"/>
        <w:rPr>
          <w:ins w:id="559" w:author="Revision" w:date="2026-04-24T11:50:00Z" w16du:dateUtc="2026-04-24T09:50:00Z"/>
        </w:rPr>
      </w:pPr>
      <w:bookmarkStart w:id="560" w:name="ref-deloache1991symbolic"/>
      <w:bookmarkEnd w:id="558"/>
      <w:r>
        <w:t>DeLoache, J. S. (</w:t>
      </w:r>
      <w:ins w:id="561" w:author="Revision" w:date="2026-04-24T11:50:00Z" w16du:dateUtc="2026-04-24T09:50:00Z">
        <w:r>
          <w:t xml:space="preserve">1991). Symbolic functioning in very young children: Understanding of pictures and models. </w:t>
        </w:r>
        <w:r>
          <w:rPr>
            <w:i/>
            <w:iCs/>
          </w:rPr>
          <w:t>Child Development</w:t>
        </w:r>
        <w:r>
          <w:t xml:space="preserve">, </w:t>
        </w:r>
        <w:r>
          <w:rPr>
            <w:i/>
            <w:iCs/>
          </w:rPr>
          <w:t>62</w:t>
        </w:r>
        <w:r>
          <w:t>(4), 736–752.</w:t>
        </w:r>
      </w:ins>
    </w:p>
    <w:p w14:paraId="346CF8C9" w14:textId="77777777" w:rsidR="005D4CD1" w:rsidRDefault="00000000">
      <w:pPr>
        <w:pStyle w:val="Literaturverzeichnis"/>
      </w:pPr>
      <w:bookmarkStart w:id="562" w:name="ref-DeLoache1995early"/>
      <w:bookmarkEnd w:id="560"/>
      <w:ins w:id="563" w:author="Revision" w:date="2026-04-24T11:50:00Z" w16du:dateUtc="2026-04-24T09:50:00Z">
        <w:r>
          <w:t>DeLoache, J. S. (</w:t>
        </w:r>
      </w:ins>
      <w:r>
        <w:t xml:space="preserve">1995). Early understanding and use of symbols: The model </w:t>
      </w:r>
      <w:proofErr w:type="spellStart"/>
      <w:r>
        <w:t>model</w:t>
      </w:r>
      <w:proofErr w:type="spellEnd"/>
      <w:r>
        <w:t xml:space="preserve">. </w:t>
      </w:r>
      <w:r>
        <w:rPr>
          <w:i/>
          <w:iCs/>
        </w:rPr>
        <w:t>Current Directions in Cognitive Science</w:t>
      </w:r>
      <w:r>
        <w:t xml:space="preserve">, </w:t>
      </w:r>
      <w:r>
        <w:rPr>
          <w:i/>
          <w:iCs/>
        </w:rPr>
        <w:t>4</w:t>
      </w:r>
      <w:r>
        <w:t>, 109–113.</w:t>
      </w:r>
    </w:p>
    <w:p w14:paraId="5390FAAE" w14:textId="77777777" w:rsidR="005D4CD1" w:rsidRDefault="00000000">
      <w:pPr>
        <w:pStyle w:val="Literaturverzeichnis"/>
      </w:pPr>
      <w:bookmarkStart w:id="564" w:name="ref-deloache2004becoming"/>
      <w:bookmarkEnd w:id="562"/>
      <w:r>
        <w:t xml:space="preserve">DeLoache, J. S. (2004). Becoming symbol-minded. </w:t>
      </w:r>
      <w:r>
        <w:rPr>
          <w:i/>
          <w:iCs/>
        </w:rPr>
        <w:t>Trends in Cognitive Sciences</w:t>
      </w:r>
      <w:r>
        <w:t xml:space="preserve">, </w:t>
      </w:r>
      <w:r>
        <w:rPr>
          <w:i/>
          <w:iCs/>
        </w:rPr>
        <w:t>8</w:t>
      </w:r>
      <w:r>
        <w:t>(2), 66–70.</w:t>
      </w:r>
    </w:p>
    <w:p w14:paraId="7BEDBFDF" w14:textId="77777777" w:rsidR="005D4CD1" w:rsidRDefault="00000000">
      <w:pPr>
        <w:pStyle w:val="Literaturverzeichnis"/>
      </w:pPr>
      <w:bookmarkStart w:id="565" w:name="ref-deloache2011early"/>
      <w:bookmarkEnd w:id="564"/>
      <w:r>
        <w:t xml:space="preserve">DeLoache, J. S. (2011). Early development of the understanding and use of symbolic artifacts. </w:t>
      </w:r>
      <w:r>
        <w:rPr>
          <w:i/>
          <w:iCs/>
        </w:rPr>
        <w:t>The Wiley-Blackwell Handbook of Childhood Cognitive Development</w:t>
      </w:r>
      <w:r>
        <w:t xml:space="preserve">, </w:t>
      </w:r>
      <w:r>
        <w:rPr>
          <w:i/>
          <w:iCs/>
        </w:rPr>
        <w:t>2</w:t>
      </w:r>
      <w:r>
        <w:t>, 312–336.</w:t>
      </w:r>
    </w:p>
    <w:p w14:paraId="6AE6C5F8" w14:textId="77777777" w:rsidR="005D4CD1" w:rsidRDefault="00000000">
      <w:pPr>
        <w:pStyle w:val="Literaturverzeichnis"/>
      </w:pPr>
      <w:bookmarkStart w:id="566" w:name="ref-deloache1992picture"/>
      <w:bookmarkEnd w:id="565"/>
      <w:r>
        <w:t xml:space="preserve">DeLoache, J. S., &amp; Marzolf, D. (1992). When a picture is not worth a thousand words: Young children’s understanding of pictures and models. </w:t>
      </w:r>
      <w:r>
        <w:rPr>
          <w:i/>
          <w:iCs/>
        </w:rPr>
        <w:t>Cognitive Development</w:t>
      </w:r>
      <w:r>
        <w:t xml:space="preserve">, </w:t>
      </w:r>
      <w:r>
        <w:rPr>
          <w:i/>
          <w:iCs/>
        </w:rPr>
        <w:t>7</w:t>
      </w:r>
      <w:r>
        <w:t>(3), 317–329.</w:t>
      </w:r>
    </w:p>
    <w:p w14:paraId="644F31A7" w14:textId="77777777" w:rsidR="00AE3AC5" w:rsidRDefault="00000000">
      <w:pPr>
        <w:pStyle w:val="Literaturverzeichnis"/>
        <w:rPr>
          <w:del w:id="567" w:author="Revision" w:date="2026-04-24T11:50:00Z" w16du:dateUtc="2026-04-24T09:50:00Z"/>
        </w:rPr>
      </w:pPr>
      <w:bookmarkStart w:id="568" w:name="ref-deloache1998grasping"/>
      <w:del w:id="569" w:author="Revision" w:date="2026-04-24T11:50:00Z" w16du:dateUtc="2026-04-24T09:50:00Z">
        <w:r>
          <w:lastRenderedPageBreak/>
          <w:delText xml:space="preserve">DeLoache, J. S., Pierroutsakos, S. L., Uttal, D. H., Rosengren, K. S., &amp; Gottlieb, A. (1998). Grasping the nature of pictures. </w:delText>
        </w:r>
        <w:r>
          <w:rPr>
            <w:i/>
            <w:iCs/>
          </w:rPr>
          <w:delText>Psychological Science</w:delText>
        </w:r>
        <w:r>
          <w:delText xml:space="preserve">, </w:delText>
        </w:r>
        <w:r>
          <w:rPr>
            <w:i/>
            <w:iCs/>
          </w:rPr>
          <w:delText>9</w:delText>
        </w:r>
        <w:r>
          <w:delText>(3), 205–210.</w:delText>
        </w:r>
      </w:del>
    </w:p>
    <w:p w14:paraId="3245B3F4" w14:textId="77777777" w:rsidR="005D4CD1" w:rsidRDefault="00000000">
      <w:pPr>
        <w:pStyle w:val="Literaturverzeichnis"/>
      </w:pPr>
      <w:bookmarkStart w:id="570" w:name="ref-diamond2013executive"/>
      <w:bookmarkEnd w:id="566"/>
      <w:bookmarkEnd w:id="568"/>
      <w:r>
        <w:t xml:space="preserve">Diamond, A. (2013). Executive functions. </w:t>
      </w:r>
      <w:r>
        <w:rPr>
          <w:i/>
          <w:iCs/>
        </w:rPr>
        <w:t>Annual Review of Psychology</w:t>
      </w:r>
      <w:r>
        <w:t xml:space="preserve">, </w:t>
      </w:r>
      <w:r>
        <w:rPr>
          <w:i/>
          <w:iCs/>
        </w:rPr>
        <w:t>64</w:t>
      </w:r>
      <w:r>
        <w:t>(1), 135–168.</w:t>
      </w:r>
    </w:p>
    <w:p w14:paraId="37157108" w14:textId="77777777" w:rsidR="005D4CD1" w:rsidRDefault="00000000">
      <w:pPr>
        <w:pStyle w:val="Literaturverzeichnis"/>
        <w:rPr>
          <w:ins w:id="571" w:author="Revision" w:date="2026-04-24T11:50:00Z" w16du:dateUtc="2026-04-24T09:50:00Z"/>
        </w:rPr>
      </w:pPr>
      <w:bookmarkStart w:id="572" w:name="ref-diamond2016preschool"/>
      <w:bookmarkEnd w:id="570"/>
      <w:ins w:id="573" w:author="Revision" w:date="2026-04-24T11:50:00Z" w16du:dateUtc="2026-04-24T09:50:00Z">
        <w:r>
          <w:t xml:space="preserve">Diamond, A., Carlson, S. M., &amp; Beck, D. M. (2016). Preschool children’s performance in task switching on the dimensional change card sort task: Separating the dimensions aids the ability to switch. In </w:t>
        </w:r>
        <w:r>
          <w:rPr>
            <w:i/>
            <w:iCs/>
          </w:rPr>
          <w:t>Measurement of executive function in early childhood</w:t>
        </w:r>
        <w:r>
          <w:t xml:space="preserve"> (pp. 689–729). Psychology Press.</w:t>
        </w:r>
      </w:ins>
    </w:p>
    <w:p w14:paraId="4C9E0E22" w14:textId="77777777" w:rsidR="005D4CD1" w:rsidRDefault="00000000">
      <w:pPr>
        <w:pStyle w:val="Literaturverzeichnis"/>
      </w:pPr>
      <w:bookmarkStart w:id="574" w:name="ref-donnelly2007visual"/>
      <w:bookmarkEnd w:id="572"/>
      <w:r>
        <w:t xml:space="preserve">Donnelly, N., Cave, K., Greenway, R., Hadwin, J. A., Stevenson, J., &amp; </w:t>
      </w:r>
      <w:proofErr w:type="spellStart"/>
      <w:r>
        <w:t>Sonuga</w:t>
      </w:r>
      <w:proofErr w:type="spellEnd"/>
      <w:r>
        <w:t xml:space="preserve">-Barke, E. (2007). Visual search in children and adults: Top-down and bottom-up mechanisms. </w:t>
      </w:r>
      <w:r>
        <w:rPr>
          <w:i/>
          <w:iCs/>
        </w:rPr>
        <w:t>Quarterly Journal of Experimental Psychology</w:t>
      </w:r>
      <w:r>
        <w:t xml:space="preserve">, </w:t>
      </w:r>
      <w:r>
        <w:rPr>
          <w:i/>
          <w:iCs/>
        </w:rPr>
        <w:t>60</w:t>
      </w:r>
      <w:r>
        <w:t>(1), 120–136.</w:t>
      </w:r>
    </w:p>
    <w:p w14:paraId="6690FA1A" w14:textId="77777777" w:rsidR="005D4CD1" w:rsidRDefault="00000000">
      <w:pPr>
        <w:pStyle w:val="Literaturverzeichnis"/>
      </w:pPr>
      <w:bookmarkStart w:id="575" w:name="ref-fay2014iconicity"/>
      <w:bookmarkEnd w:id="574"/>
      <w:del w:id="576" w:author="Revision" w:date="2026-04-24T11:50:00Z" w16du:dateUtc="2026-04-24T09:50:00Z">
        <w:r>
          <w:delText>Eckert, J., Bohn</w:delText>
        </w:r>
      </w:del>
      <w:ins w:id="577" w:author="Revision" w:date="2026-04-24T11:50:00Z" w16du:dateUtc="2026-04-24T09:50:00Z">
        <w:r>
          <w:t>Fay, N., Ellison</w:t>
        </w:r>
      </w:ins>
      <w:r>
        <w:t xml:space="preserve">, M., </w:t>
      </w:r>
      <w:del w:id="578" w:author="Revision" w:date="2026-04-24T11:50:00Z" w16du:dateUtc="2026-04-24T09:50:00Z">
        <w:r>
          <w:delText>&amp; Spaethe, J. (2022). Does quantity matter</w:delText>
        </w:r>
      </w:del>
      <w:ins w:id="579" w:author="Revision" w:date="2026-04-24T11:50:00Z" w16du:dateUtc="2026-04-24T09:50:00Z">
        <w:r>
          <w:t>&amp; Garrod, S. (2014). Iconicity: From sign</w:t>
        </w:r>
      </w:ins>
      <w:r>
        <w:t xml:space="preserve"> to </w:t>
      </w:r>
      <w:del w:id="580" w:author="Revision" w:date="2026-04-24T11:50:00Z" w16du:dateUtc="2026-04-24T09:50:00Z">
        <w:r>
          <w:delText xml:space="preserve">a stingless bee? </w:delText>
        </w:r>
        <w:r>
          <w:rPr>
            <w:i/>
            <w:iCs/>
          </w:rPr>
          <w:delText>Animal</w:delText>
        </w:r>
      </w:del>
      <w:ins w:id="581" w:author="Revision" w:date="2026-04-24T11:50:00Z" w16du:dateUtc="2026-04-24T09:50:00Z">
        <w:r>
          <w:t xml:space="preserve">system in human communication and language. </w:t>
        </w:r>
        <w:r>
          <w:rPr>
            <w:i/>
            <w:iCs/>
          </w:rPr>
          <w:t>Pragmatics &amp;</w:t>
        </w:r>
      </w:ins>
      <w:r>
        <w:rPr>
          <w:i/>
          <w:iCs/>
        </w:rPr>
        <w:t xml:space="preserve"> Cognition</w:t>
      </w:r>
      <w:r>
        <w:t xml:space="preserve">, </w:t>
      </w:r>
      <w:del w:id="582" w:author="Revision" w:date="2026-04-24T11:50:00Z" w16du:dateUtc="2026-04-24T09:50:00Z">
        <w:r>
          <w:rPr>
            <w:i/>
            <w:iCs/>
          </w:rPr>
          <w:delText>25</w:delText>
        </w:r>
        <w:r>
          <w:delText>(3), 617–629</w:delText>
        </w:r>
      </w:del>
      <w:ins w:id="583" w:author="Revision" w:date="2026-04-24T11:50:00Z" w16du:dateUtc="2026-04-24T09:50:00Z">
        <w:r>
          <w:rPr>
            <w:i/>
            <w:iCs/>
          </w:rPr>
          <w:t>22</w:t>
        </w:r>
        <w:r>
          <w:t>(2), 244–263</w:t>
        </w:r>
      </w:ins>
      <w:r>
        <w:t>.</w:t>
      </w:r>
    </w:p>
    <w:p w14:paraId="62D7A9C9" w14:textId="77777777" w:rsidR="005D4CD1" w:rsidRDefault="00000000">
      <w:pPr>
        <w:pStyle w:val="Literaturverzeichnis"/>
      </w:pPr>
      <w:bookmarkStart w:id="584" w:name="ref-ferry2025bigger"/>
      <w:bookmarkEnd w:id="575"/>
      <w:r>
        <w:t xml:space="preserve">Ferry, A. L., Corcoran, M. G., Williams, E., Curtis, S. M., Gale, C. J., &amp; Twomey, K. E. (2025). Bigger versus smaller: Children’s understanding of size comparison words becomes more precise with age. </w:t>
      </w:r>
      <w:r>
        <w:rPr>
          <w:i/>
          <w:iCs/>
        </w:rPr>
        <w:t>Child Development</w:t>
      </w:r>
      <w:r>
        <w:t xml:space="preserve">, </w:t>
      </w:r>
      <w:r>
        <w:rPr>
          <w:i/>
          <w:iCs/>
        </w:rPr>
        <w:t>96</w:t>
      </w:r>
      <w:r>
        <w:t>(2), 492–507.</w:t>
      </w:r>
    </w:p>
    <w:p w14:paraId="069964E8" w14:textId="77777777" w:rsidR="005D4CD1" w:rsidRDefault="00000000">
      <w:pPr>
        <w:pStyle w:val="Literaturverzeichnis"/>
      </w:pPr>
      <w:bookmarkStart w:id="585" w:name="ref-flavell1981young"/>
      <w:bookmarkEnd w:id="584"/>
      <w:r>
        <w:t xml:space="preserve">Flavell, J. H., Everett, B. A., Croft, K., &amp; Flavell, E. R. (1981). Young children’s knowledge about visual perception: Further evidence for the level 1–level 2 distinction. </w:t>
      </w:r>
      <w:r>
        <w:rPr>
          <w:i/>
          <w:iCs/>
        </w:rPr>
        <w:t>Developmental Psychology</w:t>
      </w:r>
      <w:r>
        <w:t xml:space="preserve">, </w:t>
      </w:r>
      <w:r>
        <w:rPr>
          <w:i/>
          <w:iCs/>
        </w:rPr>
        <w:t>17</w:t>
      </w:r>
      <w:r>
        <w:t>(1), 99.</w:t>
      </w:r>
    </w:p>
    <w:p w14:paraId="45C0C670" w14:textId="77777777" w:rsidR="005D4CD1" w:rsidRDefault="00000000">
      <w:pPr>
        <w:pStyle w:val="Literaturverzeichnis"/>
      </w:pPr>
      <w:bookmarkStart w:id="586" w:name="ref-fort2018symbouki"/>
      <w:bookmarkEnd w:id="585"/>
      <w:r>
        <w:lastRenderedPageBreak/>
        <w:t xml:space="preserve">Fort, M., </w:t>
      </w:r>
      <w:proofErr w:type="spellStart"/>
      <w:r>
        <w:t>Lammertink</w:t>
      </w:r>
      <w:proofErr w:type="spellEnd"/>
      <w:r>
        <w:t xml:space="preserve">, I., </w:t>
      </w:r>
      <w:proofErr w:type="spellStart"/>
      <w:r>
        <w:t>Peperkamp</w:t>
      </w:r>
      <w:proofErr w:type="spellEnd"/>
      <w:r>
        <w:t>, S., Guevara-</w:t>
      </w:r>
      <w:proofErr w:type="spellStart"/>
      <w:r>
        <w:t>Rukoz</w:t>
      </w:r>
      <w:proofErr w:type="spellEnd"/>
      <w:r>
        <w:t xml:space="preserve">, A., Fikkert, P., &amp; Tsuji, S. (2018). </w:t>
      </w:r>
      <w:proofErr w:type="spellStart"/>
      <w:r>
        <w:t>Symbouki</w:t>
      </w:r>
      <w:proofErr w:type="spellEnd"/>
      <w:r>
        <w:t xml:space="preserve">: A meta-analysis on the emergence of sound symbolism in early language acquisition. </w:t>
      </w:r>
      <w:r>
        <w:rPr>
          <w:i/>
          <w:iCs/>
        </w:rPr>
        <w:t>Developmental Science</w:t>
      </w:r>
      <w:r>
        <w:t xml:space="preserve">, </w:t>
      </w:r>
      <w:r>
        <w:rPr>
          <w:i/>
          <w:iCs/>
        </w:rPr>
        <w:t>21</w:t>
      </w:r>
      <w:r>
        <w:t>(5), e12659.</w:t>
      </w:r>
    </w:p>
    <w:p w14:paraId="0F898C55" w14:textId="77777777" w:rsidR="005D4CD1" w:rsidRPr="004F5719" w:rsidRDefault="00000000">
      <w:pPr>
        <w:pStyle w:val="Literaturverzeichnis"/>
        <w:rPr>
          <w:lang w:val="it-IT"/>
        </w:rPr>
      </w:pPr>
      <w:bookmarkStart w:id="587" w:name="ref-frausel2020origins"/>
      <w:bookmarkEnd w:id="586"/>
      <w:proofErr w:type="spellStart"/>
      <w:r>
        <w:t>Frausel</w:t>
      </w:r>
      <w:proofErr w:type="spellEnd"/>
      <w:r>
        <w:t xml:space="preserve">, R. R., Silvey, C., Freeman, C., Dowling, N., Richland, L. E., Levine, S. C., … Goldin-Meadow, S. (2020). The origins of higher-order thinking lie in children’s spontaneous talk across the pre-school years. </w:t>
      </w:r>
      <w:proofErr w:type="spellStart"/>
      <w:r w:rsidRPr="004F5719">
        <w:rPr>
          <w:i/>
          <w:iCs/>
          <w:lang w:val="it-IT"/>
        </w:rPr>
        <w:t>Cognition</w:t>
      </w:r>
      <w:proofErr w:type="spellEnd"/>
      <w:r w:rsidRPr="004F5719">
        <w:rPr>
          <w:lang w:val="it-IT"/>
        </w:rPr>
        <w:t xml:space="preserve">, </w:t>
      </w:r>
      <w:r w:rsidRPr="004F5719">
        <w:rPr>
          <w:i/>
          <w:iCs/>
          <w:lang w:val="it-IT"/>
        </w:rPr>
        <w:t>200</w:t>
      </w:r>
      <w:r w:rsidRPr="004F5719">
        <w:rPr>
          <w:lang w:val="it-IT"/>
        </w:rPr>
        <w:t>, 104274.</w:t>
      </w:r>
    </w:p>
    <w:p w14:paraId="2AD963F5" w14:textId="77777777" w:rsidR="005D4CD1" w:rsidRDefault="00000000">
      <w:pPr>
        <w:pStyle w:val="Literaturverzeichnis"/>
      </w:pPr>
      <w:bookmarkStart w:id="588" w:name="ref-ganea2008transfer"/>
      <w:bookmarkEnd w:id="587"/>
      <w:r w:rsidRPr="004F5719">
        <w:rPr>
          <w:lang w:val="it-IT"/>
        </w:rPr>
        <w:t xml:space="preserve">Ganea, P. A., Pickard, M. B., &amp; DeLoache, J. S. (2008). </w:t>
      </w:r>
      <w:r>
        <w:t xml:space="preserve">Transfer between picture books and the real world by very young children. </w:t>
      </w:r>
      <w:r>
        <w:rPr>
          <w:i/>
          <w:iCs/>
        </w:rPr>
        <w:t>Journal of Cognition and Development</w:t>
      </w:r>
      <w:r>
        <w:t xml:space="preserve">, </w:t>
      </w:r>
      <w:r>
        <w:rPr>
          <w:i/>
          <w:iCs/>
        </w:rPr>
        <w:t>9</w:t>
      </w:r>
      <w:r>
        <w:t xml:space="preserve">(1), 46–66. </w:t>
      </w:r>
      <w:hyperlink r:id="rId18">
        <w:r>
          <w:rPr>
            <w:rStyle w:val="Hyperlink"/>
          </w:rPr>
          <w:t>https://doi.org/10.1080/15248370701836592</w:t>
        </w:r>
      </w:hyperlink>
    </w:p>
    <w:p w14:paraId="70DC87FD" w14:textId="77777777" w:rsidR="005D4CD1" w:rsidRDefault="00000000">
      <w:pPr>
        <w:pStyle w:val="Literaturverzeichnis"/>
      </w:pPr>
      <w:bookmarkStart w:id="589" w:name="ref-gelman1998shape"/>
      <w:bookmarkEnd w:id="588"/>
      <w:r>
        <w:t xml:space="preserve">Gelman, S. A., &amp; Ebeling, K. S. (1998). Shape and representational status in children’s early naming. </w:t>
      </w:r>
      <w:r>
        <w:rPr>
          <w:i/>
          <w:iCs/>
        </w:rPr>
        <w:t>Cognition</w:t>
      </w:r>
      <w:r>
        <w:t xml:space="preserve">, </w:t>
      </w:r>
      <w:r>
        <w:rPr>
          <w:i/>
          <w:iCs/>
        </w:rPr>
        <w:t>66</w:t>
      </w:r>
      <w:r>
        <w:t>(2), B35–B47.</w:t>
      </w:r>
    </w:p>
    <w:p w14:paraId="5759FAE1" w14:textId="77777777" w:rsidR="005D4CD1" w:rsidRDefault="00000000">
      <w:pPr>
        <w:pStyle w:val="Literaturverzeichnis"/>
      </w:pPr>
      <w:bookmarkStart w:id="590" w:name="ref-gentner1977children"/>
      <w:bookmarkEnd w:id="589"/>
      <w:r>
        <w:t xml:space="preserve">Gentner, D. (1977). Children’s performance on a spatial analogies task. </w:t>
      </w:r>
      <w:r>
        <w:rPr>
          <w:i/>
          <w:iCs/>
        </w:rPr>
        <w:t>Child Development</w:t>
      </w:r>
      <w:r>
        <w:t>, 1034–1039.</w:t>
      </w:r>
    </w:p>
    <w:p w14:paraId="31FA8140" w14:textId="77777777" w:rsidR="005D4CD1" w:rsidRDefault="00000000">
      <w:pPr>
        <w:pStyle w:val="Literaturverzeichnis"/>
      </w:pPr>
      <w:bookmarkStart w:id="591" w:name="ref-gentner2017analogy"/>
      <w:bookmarkEnd w:id="590"/>
      <w:r>
        <w:t xml:space="preserve">Gentner, D., &amp; Hoyos, C. (2017). Analogy and abstraction. </w:t>
      </w:r>
      <w:r>
        <w:rPr>
          <w:i/>
          <w:iCs/>
        </w:rPr>
        <w:t>Topics in Cognitive Science</w:t>
      </w:r>
      <w:r>
        <w:t xml:space="preserve">, </w:t>
      </w:r>
      <w:r>
        <w:rPr>
          <w:i/>
          <w:iCs/>
        </w:rPr>
        <w:t>9</w:t>
      </w:r>
      <w:r>
        <w:t>(3), 672–693.</w:t>
      </w:r>
    </w:p>
    <w:p w14:paraId="723D4339" w14:textId="77777777" w:rsidR="005D4CD1" w:rsidRDefault="00000000">
      <w:pPr>
        <w:pStyle w:val="Literaturverzeichnis"/>
      </w:pPr>
      <w:bookmarkStart w:id="592" w:name="ref-gerhardstein2002development"/>
      <w:bookmarkEnd w:id="591"/>
      <w:proofErr w:type="spellStart"/>
      <w:r w:rsidRPr="004F5719">
        <w:rPr>
          <w:lang w:val="nl-NL"/>
        </w:rPr>
        <w:t>Gerhardstein</w:t>
      </w:r>
      <w:proofErr w:type="spellEnd"/>
      <w:r w:rsidRPr="004F5719">
        <w:rPr>
          <w:lang w:val="nl-NL"/>
        </w:rPr>
        <w:t xml:space="preserve">, P., &amp; </w:t>
      </w:r>
      <w:proofErr w:type="spellStart"/>
      <w:r w:rsidRPr="004F5719">
        <w:rPr>
          <w:lang w:val="nl-NL"/>
        </w:rPr>
        <w:t>Rovee</w:t>
      </w:r>
      <w:proofErr w:type="spellEnd"/>
      <w:r w:rsidRPr="004F5719">
        <w:rPr>
          <w:lang w:val="nl-NL"/>
        </w:rPr>
        <w:t xml:space="preserve">-Collier, C. (2002). </w:t>
      </w:r>
      <w:r>
        <w:t xml:space="preserve">The development of visual search in infants and very young children. </w:t>
      </w:r>
      <w:r>
        <w:rPr>
          <w:i/>
          <w:iCs/>
        </w:rPr>
        <w:t>Journal of Experimental Child Psychology</w:t>
      </w:r>
      <w:r>
        <w:t xml:space="preserve">, </w:t>
      </w:r>
      <w:r>
        <w:rPr>
          <w:i/>
          <w:iCs/>
        </w:rPr>
        <w:t>81</w:t>
      </w:r>
      <w:r>
        <w:t>(2), 194–215.</w:t>
      </w:r>
    </w:p>
    <w:p w14:paraId="3348CCC8" w14:textId="77777777" w:rsidR="005D4CD1" w:rsidRDefault="00000000">
      <w:pPr>
        <w:pStyle w:val="Literaturverzeichnis"/>
      </w:pPr>
      <w:bookmarkStart w:id="593" w:name="ref-gick1980analogical"/>
      <w:bookmarkEnd w:id="592"/>
      <w:r>
        <w:t xml:space="preserve">Gick, M. L., &amp; Holyoak, K. J. (1980). Analogical problem solving. </w:t>
      </w:r>
      <w:r>
        <w:rPr>
          <w:i/>
          <w:iCs/>
        </w:rPr>
        <w:t>Cognitive Psychology</w:t>
      </w:r>
      <w:r>
        <w:t xml:space="preserve">, </w:t>
      </w:r>
      <w:r>
        <w:rPr>
          <w:i/>
          <w:iCs/>
        </w:rPr>
        <w:t>12</w:t>
      </w:r>
      <w:r>
        <w:t>(3), 306–355.</w:t>
      </w:r>
    </w:p>
    <w:p w14:paraId="3CBADCA8" w14:textId="77777777" w:rsidR="00AE3AC5" w:rsidRDefault="00000000">
      <w:pPr>
        <w:pStyle w:val="Literaturverzeichnis"/>
        <w:rPr>
          <w:del w:id="594" w:author="Revision" w:date="2026-04-24T11:50:00Z" w16du:dateUtc="2026-04-24T09:50:00Z"/>
        </w:rPr>
      </w:pPr>
      <w:bookmarkStart w:id="595" w:name="ref-goldin1977development"/>
      <w:del w:id="596" w:author="Revision" w:date="2026-04-24T11:50:00Z" w16du:dateUtc="2026-04-24T09:50:00Z">
        <w:r>
          <w:delText xml:space="preserve">Goldin-Meadow, S., &amp; Feldman, H. (1977). The development of language-like communication without a language model. </w:delText>
        </w:r>
        <w:r>
          <w:rPr>
            <w:i/>
            <w:iCs/>
          </w:rPr>
          <w:delText>Science</w:delText>
        </w:r>
        <w:r>
          <w:delText xml:space="preserve">, </w:delText>
        </w:r>
        <w:r>
          <w:rPr>
            <w:i/>
            <w:iCs/>
          </w:rPr>
          <w:delText>197</w:delText>
        </w:r>
        <w:r>
          <w:delText>(4301), 401–403.</w:delText>
        </w:r>
      </w:del>
    </w:p>
    <w:p w14:paraId="0AE4DDDD" w14:textId="77777777" w:rsidR="005D4CD1" w:rsidRDefault="00000000">
      <w:pPr>
        <w:pStyle w:val="Literaturverzeichnis"/>
        <w:rPr>
          <w:ins w:id="597" w:author="Revision" w:date="2026-04-24T11:50:00Z" w16du:dateUtc="2026-04-24T09:50:00Z"/>
        </w:rPr>
      </w:pPr>
      <w:bookmarkStart w:id="598" w:name="ref-goddu2020transformations"/>
      <w:bookmarkEnd w:id="593"/>
      <w:bookmarkEnd w:id="595"/>
      <w:ins w:id="599" w:author="Revision" w:date="2026-04-24T11:50:00Z" w16du:dateUtc="2026-04-24T09:50:00Z">
        <w:r w:rsidRPr="004F5719">
          <w:rPr>
            <w:lang w:val="it-IT"/>
          </w:rPr>
          <w:lastRenderedPageBreak/>
          <w:t xml:space="preserve">Goddu, M. K., </w:t>
        </w:r>
        <w:proofErr w:type="spellStart"/>
        <w:r w:rsidRPr="004F5719">
          <w:rPr>
            <w:lang w:val="it-IT"/>
          </w:rPr>
          <w:t>Lombrozo</w:t>
        </w:r>
        <w:proofErr w:type="spellEnd"/>
        <w:r w:rsidRPr="004F5719">
          <w:rPr>
            <w:lang w:val="it-IT"/>
          </w:rPr>
          <w:t xml:space="preserve">, T., &amp; </w:t>
        </w:r>
        <w:proofErr w:type="spellStart"/>
        <w:r w:rsidRPr="004F5719">
          <w:rPr>
            <w:lang w:val="it-IT"/>
          </w:rPr>
          <w:t>Gopnik</w:t>
        </w:r>
        <w:proofErr w:type="spellEnd"/>
        <w:r w:rsidRPr="004F5719">
          <w:rPr>
            <w:lang w:val="it-IT"/>
          </w:rPr>
          <w:t xml:space="preserve">, A. (2020). </w:t>
        </w:r>
        <w:r>
          <w:t xml:space="preserve">Transformations and transfer: Preschool children understand abstract relations and reason analogically in a causal task. </w:t>
        </w:r>
        <w:r>
          <w:rPr>
            <w:i/>
            <w:iCs/>
          </w:rPr>
          <w:t>Child Development</w:t>
        </w:r>
        <w:r>
          <w:t xml:space="preserve">, </w:t>
        </w:r>
        <w:r>
          <w:rPr>
            <w:i/>
            <w:iCs/>
          </w:rPr>
          <w:t>91</w:t>
        </w:r>
        <w:r>
          <w:t>(6), 1898–1915.</w:t>
        </w:r>
      </w:ins>
    </w:p>
    <w:p w14:paraId="09202C86" w14:textId="77777777" w:rsidR="005D4CD1" w:rsidRDefault="00000000">
      <w:pPr>
        <w:pStyle w:val="Literaturverzeichnis"/>
      </w:pPr>
      <w:bookmarkStart w:id="600" w:name="ref-gopnik1988children"/>
      <w:bookmarkEnd w:id="598"/>
      <w:r>
        <w:t xml:space="preserve">Gopnik, A., &amp; Astington, J. (1988). Children’s understanding of representational change and its relation to the understanding of false belief and the appearance-reality distinction. </w:t>
      </w:r>
      <w:r>
        <w:rPr>
          <w:i/>
          <w:iCs/>
        </w:rPr>
        <w:t>Child Development</w:t>
      </w:r>
      <w:r>
        <w:t>, 26–37.</w:t>
      </w:r>
    </w:p>
    <w:p w14:paraId="3258BDDD" w14:textId="77777777" w:rsidR="005D4CD1" w:rsidRDefault="00000000">
      <w:pPr>
        <w:pStyle w:val="Literaturverzeichnis"/>
      </w:pPr>
      <w:bookmarkStart w:id="601" w:name="ref-goswami1991analogical"/>
      <w:bookmarkEnd w:id="600"/>
      <w:r>
        <w:t xml:space="preserve">Goswami, U. (1991). Analogical reasoning: What develops? A review of research and theory. </w:t>
      </w:r>
      <w:r>
        <w:rPr>
          <w:i/>
          <w:iCs/>
        </w:rPr>
        <w:t>Child Development</w:t>
      </w:r>
      <w:r>
        <w:t xml:space="preserve">, </w:t>
      </w:r>
      <w:r>
        <w:rPr>
          <w:i/>
          <w:iCs/>
        </w:rPr>
        <w:t>62</w:t>
      </w:r>
      <w:r>
        <w:t>(1), 1–22.</w:t>
      </w:r>
    </w:p>
    <w:p w14:paraId="11788F12" w14:textId="77777777" w:rsidR="005D4CD1" w:rsidRDefault="00000000">
      <w:pPr>
        <w:pStyle w:val="Literaturverzeichnis"/>
        <w:rPr>
          <w:ins w:id="602" w:author="Revision" w:date="2026-04-24T11:50:00Z" w16du:dateUtc="2026-04-24T09:50:00Z"/>
        </w:rPr>
      </w:pPr>
      <w:bookmarkStart w:id="603" w:name="ref-grice1991studies"/>
      <w:bookmarkEnd w:id="601"/>
      <w:ins w:id="604" w:author="Revision" w:date="2026-04-24T11:50:00Z" w16du:dateUtc="2026-04-24T09:50:00Z">
        <w:r>
          <w:t xml:space="preserve">Grice, P. (1991). </w:t>
        </w:r>
        <w:r>
          <w:rPr>
            <w:i/>
            <w:iCs/>
          </w:rPr>
          <w:t>Studies in the way of words</w:t>
        </w:r>
        <w:r>
          <w:t>. Harvard University Press.</w:t>
        </w:r>
      </w:ins>
    </w:p>
    <w:p w14:paraId="59155977" w14:textId="77777777" w:rsidR="005D4CD1" w:rsidRDefault="00000000">
      <w:pPr>
        <w:pStyle w:val="Literaturverzeichnis"/>
      </w:pPr>
      <w:bookmarkStart w:id="605" w:name="ref-halford1998processing"/>
      <w:bookmarkEnd w:id="603"/>
      <w:r>
        <w:t xml:space="preserve">Halford, G. S., Wilson, W. H., &amp; Phillips, S. (1998). Processing capacity defined by relational complexity: Implications for comparative, developmental, and cognitive psychology. </w:t>
      </w:r>
      <w:r>
        <w:rPr>
          <w:i/>
          <w:iCs/>
        </w:rPr>
        <w:t>Behavioral and Brain Sciences</w:t>
      </w:r>
      <w:r>
        <w:t xml:space="preserve">, </w:t>
      </w:r>
      <w:r>
        <w:rPr>
          <w:i/>
          <w:iCs/>
        </w:rPr>
        <w:t>21</w:t>
      </w:r>
      <w:r>
        <w:t>(6), 803–831.</w:t>
      </w:r>
    </w:p>
    <w:p w14:paraId="2315FF5A" w14:textId="77777777" w:rsidR="005D4CD1" w:rsidRDefault="00000000">
      <w:pPr>
        <w:pStyle w:val="Literaturverzeichnis"/>
      </w:pPr>
      <w:bookmarkStart w:id="606" w:name="ref-haun2011conformity"/>
      <w:bookmarkEnd w:id="605"/>
      <w:r>
        <w:t xml:space="preserve">Haun, D. B., &amp; Tomasello, M. (2011). Conformity to peer pressure in preschool children. </w:t>
      </w:r>
      <w:r>
        <w:rPr>
          <w:i/>
          <w:iCs/>
        </w:rPr>
        <w:t>Child Development</w:t>
      </w:r>
      <w:r>
        <w:t xml:space="preserve">, </w:t>
      </w:r>
      <w:r>
        <w:rPr>
          <w:i/>
          <w:iCs/>
        </w:rPr>
        <w:t>82</w:t>
      </w:r>
      <w:r>
        <w:t>(6), 1759–1767.</w:t>
      </w:r>
    </w:p>
    <w:p w14:paraId="1DF1E05C" w14:textId="77777777" w:rsidR="005D4CD1" w:rsidRDefault="00000000">
      <w:pPr>
        <w:pStyle w:val="Literaturverzeichnis"/>
      </w:pPr>
      <w:bookmarkStart w:id="607" w:name="ref-henrich2010weirdest"/>
      <w:bookmarkEnd w:id="606"/>
      <w:r>
        <w:t xml:space="preserve">Henrich, J., Heine, S. J., &amp; </w:t>
      </w:r>
      <w:proofErr w:type="spellStart"/>
      <w:r>
        <w:t>Norenzayan</w:t>
      </w:r>
      <w:proofErr w:type="spellEnd"/>
      <w:r>
        <w:t xml:space="preserve">, A. (2010). The weirdest people in the world? </w:t>
      </w:r>
      <w:r>
        <w:rPr>
          <w:i/>
          <w:iCs/>
        </w:rPr>
        <w:t>Behavioral and Brain Sciences</w:t>
      </w:r>
      <w:r>
        <w:t xml:space="preserve">, </w:t>
      </w:r>
      <w:r>
        <w:rPr>
          <w:i/>
          <w:iCs/>
        </w:rPr>
        <w:t>33</w:t>
      </w:r>
      <w:r>
        <w:t>(2-3), 61–83.</w:t>
      </w:r>
    </w:p>
    <w:p w14:paraId="6338F9E5" w14:textId="77777777" w:rsidR="005D4CD1" w:rsidRDefault="00000000">
      <w:pPr>
        <w:pStyle w:val="Literaturverzeichnis"/>
      </w:pPr>
      <w:bookmarkStart w:id="608" w:name="ref-House2013ontogeny"/>
      <w:bookmarkEnd w:id="607"/>
      <w:r>
        <w:t xml:space="preserve">House, B. R., Silk, J. B., Henrich, J., Barrett, H. C., Scelza, B. A., Boyette, A. H., &amp; Laurence, S. (2013). Ontogeny of prosocial behavior across diverse societies. </w:t>
      </w:r>
      <w:r>
        <w:rPr>
          <w:i/>
          <w:iCs/>
        </w:rPr>
        <w:t>Proceedings of the National Academy of Sciences</w:t>
      </w:r>
      <w:r>
        <w:t xml:space="preserve">, </w:t>
      </w:r>
      <w:r>
        <w:rPr>
          <w:i/>
          <w:iCs/>
        </w:rPr>
        <w:t>110</w:t>
      </w:r>
      <w:r>
        <w:t>(36), 14586–14591.</w:t>
      </w:r>
    </w:p>
    <w:p w14:paraId="1BD7A32E" w14:textId="77777777" w:rsidR="005D4CD1" w:rsidRDefault="00000000">
      <w:pPr>
        <w:pStyle w:val="Literaturverzeichnis"/>
      </w:pPr>
      <w:bookmarkStart w:id="609" w:name="ref-ifrah2000universal"/>
      <w:bookmarkEnd w:id="608"/>
      <w:r>
        <w:t xml:space="preserve">Ifrah, G. (2000). </w:t>
      </w:r>
      <w:r>
        <w:rPr>
          <w:i/>
          <w:iCs/>
        </w:rPr>
        <w:t>The universal history of numbers</w:t>
      </w:r>
      <w:r>
        <w:t>. Harvill London.</w:t>
      </w:r>
    </w:p>
    <w:p w14:paraId="3A9BDF26" w14:textId="77777777" w:rsidR="005D4CD1" w:rsidRDefault="00000000">
      <w:pPr>
        <w:pStyle w:val="Literaturverzeichnis"/>
      </w:pPr>
      <w:bookmarkStart w:id="610" w:name="ref-imai2008sound"/>
      <w:bookmarkEnd w:id="609"/>
      <w:r>
        <w:lastRenderedPageBreak/>
        <w:t xml:space="preserve">Imai, M., Kita, S., Nagumo, M., &amp; Okada, H. (2008). Sound symbolism facilitates early verb learning. </w:t>
      </w:r>
      <w:r>
        <w:rPr>
          <w:i/>
          <w:iCs/>
        </w:rPr>
        <w:t>Cognition</w:t>
      </w:r>
      <w:r>
        <w:t xml:space="preserve">, </w:t>
      </w:r>
      <w:r>
        <w:rPr>
          <w:i/>
          <w:iCs/>
        </w:rPr>
        <w:t>109</w:t>
      </w:r>
      <w:r>
        <w:t>(1), 54–65.</w:t>
      </w:r>
    </w:p>
    <w:p w14:paraId="08CC7A91" w14:textId="77777777" w:rsidR="005D4CD1" w:rsidRDefault="00000000">
      <w:pPr>
        <w:pStyle w:val="Literaturverzeichnis"/>
      </w:pPr>
      <w:bookmarkStart w:id="611" w:name="ref-jablonski2014inhibitory"/>
      <w:bookmarkEnd w:id="610"/>
      <w:r>
        <w:t xml:space="preserve">Jablonski, S. (2014). Inhibitory control and literacy development among 3-to 5-year-old children. </w:t>
      </w:r>
      <w:r>
        <w:rPr>
          <w:i/>
          <w:iCs/>
        </w:rPr>
        <w:t>L1-Educational Studies in Language and Literature</w:t>
      </w:r>
      <w:r>
        <w:t>, 1–25.</w:t>
      </w:r>
    </w:p>
    <w:p w14:paraId="2786C446" w14:textId="77777777" w:rsidR="005D4CD1" w:rsidRDefault="00000000">
      <w:pPr>
        <w:pStyle w:val="Literaturverzeichnis"/>
      </w:pPr>
      <w:bookmarkStart w:id="612" w:name="ref-karmiloff1994beyond"/>
      <w:bookmarkEnd w:id="611"/>
      <w:r>
        <w:t xml:space="preserve">Karmiloff-Smith, B. A. (1994). Beyond modularity: A developmental perspective on cognitive science. </w:t>
      </w:r>
      <w:r>
        <w:rPr>
          <w:i/>
          <w:iCs/>
        </w:rPr>
        <w:t>European Journal of Disorders of Communication</w:t>
      </w:r>
      <w:r>
        <w:t xml:space="preserve">, </w:t>
      </w:r>
      <w:r>
        <w:rPr>
          <w:i/>
          <w:iCs/>
        </w:rPr>
        <w:t>29</w:t>
      </w:r>
      <w:r>
        <w:t>(1), 95–105.</w:t>
      </w:r>
    </w:p>
    <w:p w14:paraId="782482B9" w14:textId="77777777" w:rsidR="005D4CD1" w:rsidRPr="004F5719" w:rsidRDefault="00000000">
      <w:pPr>
        <w:pStyle w:val="Literaturverzeichnis"/>
        <w:rPr>
          <w:lang w:val="it-IT"/>
        </w:rPr>
      </w:pPr>
      <w:bookmarkStart w:id="613" w:name="ref-kellman1983perception"/>
      <w:bookmarkEnd w:id="612"/>
      <w:r>
        <w:t xml:space="preserve">Kellman, P. J., &amp; </w:t>
      </w:r>
      <w:proofErr w:type="spellStart"/>
      <w:r>
        <w:t>Spelke</w:t>
      </w:r>
      <w:proofErr w:type="spellEnd"/>
      <w:r>
        <w:t xml:space="preserve">, E. S. (1983). Perception of partly occluded objects in infancy. </w:t>
      </w:r>
      <w:r w:rsidRPr="004F5719">
        <w:rPr>
          <w:i/>
          <w:iCs/>
          <w:lang w:val="it-IT"/>
        </w:rPr>
        <w:t xml:space="preserve">Cognitive </w:t>
      </w:r>
      <w:proofErr w:type="spellStart"/>
      <w:r w:rsidRPr="004F5719">
        <w:rPr>
          <w:i/>
          <w:iCs/>
          <w:lang w:val="it-IT"/>
        </w:rPr>
        <w:t>Psychology</w:t>
      </w:r>
      <w:proofErr w:type="spellEnd"/>
      <w:r w:rsidRPr="004F5719">
        <w:rPr>
          <w:lang w:val="it-IT"/>
        </w:rPr>
        <w:t xml:space="preserve">, </w:t>
      </w:r>
      <w:r w:rsidRPr="004F5719">
        <w:rPr>
          <w:i/>
          <w:iCs/>
          <w:lang w:val="it-IT"/>
        </w:rPr>
        <w:t>15</w:t>
      </w:r>
      <w:r w:rsidRPr="004F5719">
        <w:rPr>
          <w:lang w:val="it-IT"/>
        </w:rPr>
        <w:t>(4), 483–524.</w:t>
      </w:r>
    </w:p>
    <w:p w14:paraId="2BB7F67C" w14:textId="77777777" w:rsidR="005D4CD1" w:rsidRDefault="00000000">
      <w:pPr>
        <w:pStyle w:val="Literaturverzeichnis"/>
      </w:pPr>
      <w:bookmarkStart w:id="614" w:name="ref-knoeferle2017drives"/>
      <w:bookmarkEnd w:id="613"/>
      <w:proofErr w:type="spellStart"/>
      <w:r w:rsidRPr="004F5719">
        <w:rPr>
          <w:lang w:val="it-IT"/>
        </w:rPr>
        <w:t>Knoeferle</w:t>
      </w:r>
      <w:proofErr w:type="spellEnd"/>
      <w:r w:rsidRPr="004F5719">
        <w:rPr>
          <w:lang w:val="it-IT"/>
        </w:rPr>
        <w:t xml:space="preserve">, K., Li, J., Maggioni, E., &amp; Spence, C. (2017). </w:t>
      </w:r>
      <w:r>
        <w:t xml:space="preserve">What drives sound symbolism? Different acoustic cues underlie sound-size and sound-shape mappings. </w:t>
      </w:r>
      <w:r>
        <w:rPr>
          <w:i/>
          <w:iCs/>
        </w:rPr>
        <w:t>Scientific Reports</w:t>
      </w:r>
      <w:r>
        <w:t xml:space="preserve">, </w:t>
      </w:r>
      <w:r>
        <w:rPr>
          <w:i/>
          <w:iCs/>
        </w:rPr>
        <w:t>7</w:t>
      </w:r>
      <w:r>
        <w:t>(1), 5562.</w:t>
      </w:r>
    </w:p>
    <w:p w14:paraId="4B77AF83" w14:textId="77777777" w:rsidR="005D4CD1" w:rsidRDefault="00000000">
      <w:pPr>
        <w:pStyle w:val="Literaturverzeichnis"/>
      </w:pPr>
      <w:bookmarkStart w:id="615" w:name="ref-kroupin2022importance"/>
      <w:bookmarkEnd w:id="614"/>
      <w:r>
        <w:t xml:space="preserve">Kroupin, I. G., &amp; Carey, S. E. (2022a). The importance of inference in relational reasoning: Relational matching as a case study. </w:t>
      </w:r>
      <w:r>
        <w:rPr>
          <w:i/>
          <w:iCs/>
        </w:rPr>
        <w:t>Journal of Experimental Psychology: General</w:t>
      </w:r>
      <w:r>
        <w:t xml:space="preserve">, </w:t>
      </w:r>
      <w:r>
        <w:rPr>
          <w:i/>
          <w:iCs/>
        </w:rPr>
        <w:t>151</w:t>
      </w:r>
      <w:r>
        <w:t>(1), 224.</w:t>
      </w:r>
    </w:p>
    <w:p w14:paraId="499524D5" w14:textId="77777777" w:rsidR="005D4CD1" w:rsidRPr="004F5719" w:rsidRDefault="00000000">
      <w:pPr>
        <w:pStyle w:val="Literaturverzeichnis"/>
        <w:rPr>
          <w:lang w:val="de-DE"/>
        </w:rPr>
      </w:pPr>
      <w:bookmarkStart w:id="616" w:name="ref-kroupin2022you"/>
      <w:bookmarkEnd w:id="615"/>
      <w:r>
        <w:t xml:space="preserve">Kroupin, I. G., &amp; Carey, S. E. (2022b). You cannot find what you are not looking for: Population differences in relational reasoning are sometimes differences in inductive biases alone. </w:t>
      </w:r>
      <w:proofErr w:type="spellStart"/>
      <w:r w:rsidRPr="004F5719">
        <w:rPr>
          <w:i/>
          <w:iCs/>
          <w:lang w:val="de-DE"/>
        </w:rPr>
        <w:t>Cognition</w:t>
      </w:r>
      <w:proofErr w:type="spellEnd"/>
      <w:r w:rsidRPr="004F5719">
        <w:rPr>
          <w:lang w:val="de-DE"/>
        </w:rPr>
        <w:t xml:space="preserve">, </w:t>
      </w:r>
      <w:r w:rsidRPr="004F5719">
        <w:rPr>
          <w:i/>
          <w:iCs/>
          <w:lang w:val="de-DE"/>
        </w:rPr>
        <w:t>222</w:t>
      </w:r>
      <w:r w:rsidRPr="004F5719">
        <w:rPr>
          <w:lang w:val="de-DE"/>
        </w:rPr>
        <w:t>, 105007.</w:t>
      </w:r>
    </w:p>
    <w:p w14:paraId="79B2DCF6" w14:textId="77777777" w:rsidR="005D4CD1" w:rsidRPr="004F5719" w:rsidRDefault="00000000">
      <w:pPr>
        <w:pStyle w:val="Literaturverzeichnis"/>
        <w:rPr>
          <w:lang w:val="de-DE"/>
        </w:rPr>
      </w:pPr>
      <w:bookmarkStart w:id="617" w:name="ref-kucharz2012elementarbildung"/>
      <w:bookmarkEnd w:id="616"/>
      <w:r w:rsidRPr="004F5719">
        <w:rPr>
          <w:lang w:val="de-DE"/>
        </w:rPr>
        <w:t xml:space="preserve">Kucharz, D. (2012). </w:t>
      </w:r>
      <w:r w:rsidRPr="004F5719">
        <w:rPr>
          <w:i/>
          <w:iCs/>
          <w:lang w:val="de-DE"/>
        </w:rPr>
        <w:t>Elementarbildung</w:t>
      </w:r>
      <w:r w:rsidRPr="004F5719">
        <w:rPr>
          <w:lang w:val="de-DE"/>
        </w:rPr>
        <w:t>. Weinheim, Basel: Beltz Verlag.</w:t>
      </w:r>
    </w:p>
    <w:p w14:paraId="5DD3C48C" w14:textId="77777777" w:rsidR="005D4CD1" w:rsidRDefault="00000000">
      <w:pPr>
        <w:pStyle w:val="Literaturverzeichnis"/>
      </w:pPr>
      <w:bookmarkStart w:id="618" w:name="ref-landau1986early"/>
      <w:bookmarkEnd w:id="617"/>
      <w:r w:rsidRPr="004F5719">
        <w:rPr>
          <w:lang w:val="de-DE"/>
        </w:rPr>
        <w:t xml:space="preserve">Landau, B. (1986). </w:t>
      </w:r>
      <w:r>
        <w:t xml:space="preserve">Early map use as an unlearned ability. </w:t>
      </w:r>
      <w:r>
        <w:rPr>
          <w:i/>
          <w:iCs/>
        </w:rPr>
        <w:t>Cognition</w:t>
      </w:r>
      <w:r>
        <w:t xml:space="preserve">, </w:t>
      </w:r>
      <w:r>
        <w:rPr>
          <w:i/>
          <w:iCs/>
        </w:rPr>
        <w:t>22</w:t>
      </w:r>
      <w:r>
        <w:t>(3), 201–223.</w:t>
      </w:r>
    </w:p>
    <w:p w14:paraId="20282061" w14:textId="77777777" w:rsidR="005D4CD1" w:rsidRDefault="00000000">
      <w:pPr>
        <w:pStyle w:val="Literaturverzeichnis"/>
        <w:rPr>
          <w:ins w:id="619" w:author="Revision" w:date="2026-04-24T11:50:00Z" w16du:dateUtc="2026-04-24T09:50:00Z"/>
        </w:rPr>
      </w:pPr>
      <w:bookmarkStart w:id="620" w:name="ref-Leekam2010adults"/>
      <w:bookmarkEnd w:id="618"/>
      <w:proofErr w:type="spellStart"/>
      <w:ins w:id="621" w:author="Revision" w:date="2026-04-24T11:50:00Z" w16du:dateUtc="2026-04-24T09:50:00Z">
        <w:r>
          <w:lastRenderedPageBreak/>
          <w:t>Leekam</w:t>
        </w:r>
        <w:proofErr w:type="spellEnd"/>
        <w:r>
          <w:t xml:space="preserve">, S. R., Solomon, T. L., &amp; Teoh, Y. S. (2010). Adults’ social cues facilitate young children’s use of signs and symbols. </w:t>
        </w:r>
        <w:r>
          <w:rPr>
            <w:i/>
            <w:iCs/>
          </w:rPr>
          <w:t>Developmental Science</w:t>
        </w:r>
        <w:r>
          <w:t xml:space="preserve">, </w:t>
        </w:r>
        <w:r>
          <w:rPr>
            <w:i/>
            <w:iCs/>
          </w:rPr>
          <w:t>13</w:t>
        </w:r>
        <w:r>
          <w:t xml:space="preserve">(1), 108–119. </w:t>
        </w:r>
      </w:ins>
      <w:hyperlink r:id="rId19">
        <w:r>
          <w:rPr>
            <w:rStyle w:val="Hyperlink"/>
          </w:rPr>
          <w:t>https://doi.org/10.1111/j.1467-7687.2009.00862.x</w:t>
        </w:r>
      </w:hyperlink>
    </w:p>
    <w:p w14:paraId="3E6EE3D5" w14:textId="77777777" w:rsidR="005D4CD1" w:rsidRDefault="00000000">
      <w:pPr>
        <w:pStyle w:val="Literaturverzeichnis"/>
        <w:rPr>
          <w:ins w:id="622" w:author="Revision" w:date="2026-04-24T11:50:00Z" w16du:dateUtc="2026-04-24T09:50:00Z"/>
        </w:rPr>
      </w:pPr>
      <w:bookmarkStart w:id="623" w:name="ref-leibovich2017sense"/>
      <w:bookmarkEnd w:id="620"/>
      <w:ins w:id="624" w:author="Revision" w:date="2026-04-24T11:50:00Z" w16du:dateUtc="2026-04-24T09:50:00Z">
        <w:r>
          <w:t xml:space="preserve">Leibovich, T., Katzin, N., Harel, M., &amp; Henik, A. (2017). From “sense of number” to “sense of magnitude”: The role of continuous magnitudes in numerical cognition. </w:t>
        </w:r>
        <w:r>
          <w:rPr>
            <w:i/>
            <w:iCs/>
          </w:rPr>
          <w:t>Behavioral and Brain Sciences</w:t>
        </w:r>
        <w:r>
          <w:t xml:space="preserve">, </w:t>
        </w:r>
        <w:r>
          <w:rPr>
            <w:i/>
            <w:iCs/>
          </w:rPr>
          <w:t>40</w:t>
        </w:r>
        <w:r>
          <w:t>, e164.</w:t>
        </w:r>
      </w:ins>
    </w:p>
    <w:p w14:paraId="3F273DDE" w14:textId="77777777" w:rsidR="005D4CD1" w:rsidRDefault="00000000">
      <w:pPr>
        <w:pStyle w:val="Literaturverzeichnis"/>
      </w:pPr>
      <w:bookmarkStart w:id="625" w:name="ref-liben2013role"/>
      <w:bookmarkEnd w:id="623"/>
      <w:r>
        <w:t xml:space="preserve">Liben, L. S., &amp; Downs, R. M. (2013). The role of graphic representations in understanding the world. In </w:t>
      </w:r>
      <w:r>
        <w:rPr>
          <w:i/>
          <w:iCs/>
        </w:rPr>
        <w:t>Visions of aesthetics, the environment &amp; development</w:t>
      </w:r>
      <w:r>
        <w:t xml:space="preserve"> (pp. 139–180). Psychology Press.</w:t>
      </w:r>
    </w:p>
    <w:p w14:paraId="5F7D3F2B" w14:textId="77777777" w:rsidR="005D4CD1" w:rsidRDefault="00000000">
      <w:pPr>
        <w:pStyle w:val="Literaturverzeichnis"/>
      </w:pPr>
      <w:bookmarkStart w:id="626" w:name="ref-long2019real"/>
      <w:bookmarkEnd w:id="625"/>
      <w:r>
        <w:t xml:space="preserve">Long, B., Moher, M., Carey, S., &amp; Konkle, T. (2019). Real-world size is automatically encoded in preschoolers’ object representations. </w:t>
      </w:r>
      <w:r>
        <w:rPr>
          <w:i/>
          <w:iCs/>
        </w:rPr>
        <w:t>Journal of Experimental Psychology: Human Perception and Performance</w:t>
      </w:r>
      <w:r>
        <w:t xml:space="preserve">, </w:t>
      </w:r>
      <w:r>
        <w:rPr>
          <w:i/>
          <w:iCs/>
        </w:rPr>
        <w:t>45</w:t>
      </w:r>
      <w:r>
        <w:t>(7), 863.</w:t>
      </w:r>
    </w:p>
    <w:p w14:paraId="62ED466F" w14:textId="77777777" w:rsidR="005D4CD1" w:rsidRDefault="00000000">
      <w:pPr>
        <w:pStyle w:val="Literaturverzeichnis"/>
      </w:pPr>
      <w:bookmarkStart w:id="627" w:name="ref-luquet2001children"/>
      <w:bookmarkEnd w:id="626"/>
      <w:proofErr w:type="spellStart"/>
      <w:r>
        <w:t>Luquet</w:t>
      </w:r>
      <w:proofErr w:type="spellEnd"/>
      <w:r>
        <w:t xml:space="preserve">, G.-H., &amp; Costall, A. T. (2001). </w:t>
      </w:r>
      <w:r>
        <w:rPr>
          <w:i/>
          <w:iCs/>
        </w:rPr>
        <w:t xml:space="preserve">Children’s drawings (le dessin </w:t>
      </w:r>
      <w:proofErr w:type="spellStart"/>
      <w:r>
        <w:rPr>
          <w:i/>
          <w:iCs/>
        </w:rPr>
        <w:t>enfantin</w:t>
      </w:r>
      <w:proofErr w:type="spellEnd"/>
      <w:r>
        <w:rPr>
          <w:i/>
          <w:iCs/>
        </w:rPr>
        <w:t>).</w:t>
      </w:r>
      <w:r>
        <w:t xml:space="preserve"> International Specialized Book Services.</w:t>
      </w:r>
    </w:p>
    <w:p w14:paraId="43B40D28" w14:textId="77777777" w:rsidR="005D4CD1" w:rsidRDefault="00000000">
      <w:pPr>
        <w:pStyle w:val="Literaturverzeichnis"/>
      </w:pPr>
      <w:bookmarkStart w:id="628" w:name="ref-margiotoudi2020action"/>
      <w:bookmarkEnd w:id="627"/>
      <w:proofErr w:type="spellStart"/>
      <w:r>
        <w:t>Margiotoudi</w:t>
      </w:r>
      <w:proofErr w:type="spellEnd"/>
      <w:r>
        <w:t xml:space="preserve">, K., &amp; </w:t>
      </w:r>
      <w:proofErr w:type="spellStart"/>
      <w:r>
        <w:t>Pulvermüller</w:t>
      </w:r>
      <w:proofErr w:type="spellEnd"/>
      <w:r>
        <w:t xml:space="preserve">, F. (2020). Action sound–shape congruencies explain sound symbolism. </w:t>
      </w:r>
      <w:r>
        <w:rPr>
          <w:i/>
          <w:iCs/>
        </w:rPr>
        <w:t>Scientific Reports</w:t>
      </w:r>
      <w:r>
        <w:t xml:space="preserve">, </w:t>
      </w:r>
      <w:r>
        <w:rPr>
          <w:i/>
          <w:iCs/>
        </w:rPr>
        <w:t>10</w:t>
      </w:r>
      <w:r>
        <w:t>(1), 12706.</w:t>
      </w:r>
    </w:p>
    <w:p w14:paraId="6D698288" w14:textId="77777777" w:rsidR="005D4CD1" w:rsidRDefault="00000000">
      <w:pPr>
        <w:pStyle w:val="Literaturverzeichnis"/>
      </w:pPr>
      <w:bookmarkStart w:id="629" w:name="ref-maurer2006shape"/>
      <w:bookmarkEnd w:id="628"/>
      <w:r>
        <w:t xml:space="preserve">Maurer, D., Pathman, T., &amp; Mondloch, C. J. (2006). The shape of </w:t>
      </w:r>
      <w:proofErr w:type="spellStart"/>
      <w:r>
        <w:t>boubas</w:t>
      </w:r>
      <w:proofErr w:type="spellEnd"/>
      <w:r>
        <w:t xml:space="preserve">: Sound–shape correspondences in toddlers and adults. </w:t>
      </w:r>
      <w:r>
        <w:rPr>
          <w:i/>
          <w:iCs/>
        </w:rPr>
        <w:t>Developmental Science</w:t>
      </w:r>
      <w:r>
        <w:t xml:space="preserve">, </w:t>
      </w:r>
      <w:r>
        <w:rPr>
          <w:i/>
          <w:iCs/>
        </w:rPr>
        <w:t>9</w:t>
      </w:r>
      <w:r>
        <w:t>(3), 316–322.</w:t>
      </w:r>
    </w:p>
    <w:p w14:paraId="03C194CB" w14:textId="77777777" w:rsidR="005D4CD1" w:rsidRDefault="00000000">
      <w:pPr>
        <w:pStyle w:val="Literaturverzeichnis"/>
      </w:pPr>
      <w:bookmarkStart w:id="630" w:name="ref-mcelreath2018statistical"/>
      <w:bookmarkEnd w:id="629"/>
      <w:r>
        <w:t xml:space="preserve">McElreath, R. (2018). </w:t>
      </w:r>
      <w:r>
        <w:rPr>
          <w:i/>
          <w:iCs/>
        </w:rPr>
        <w:t xml:space="preserve">Statistical rethinking: A </w:t>
      </w:r>
      <w:proofErr w:type="spellStart"/>
      <w:r>
        <w:rPr>
          <w:i/>
          <w:iCs/>
        </w:rPr>
        <w:t>bayesian</w:t>
      </w:r>
      <w:proofErr w:type="spellEnd"/>
      <w:r>
        <w:rPr>
          <w:i/>
          <w:iCs/>
        </w:rPr>
        <w:t xml:space="preserve"> course with examples in r and stan</w:t>
      </w:r>
      <w:r>
        <w:t>. Chapman; Hall/CRC.</w:t>
      </w:r>
    </w:p>
    <w:p w14:paraId="3475ED1D" w14:textId="77777777" w:rsidR="005D4CD1" w:rsidRDefault="00000000">
      <w:pPr>
        <w:pStyle w:val="Literaturverzeichnis"/>
      </w:pPr>
      <w:bookmarkStart w:id="631" w:name="ref-mix2002quantitative"/>
      <w:bookmarkEnd w:id="630"/>
      <w:r>
        <w:lastRenderedPageBreak/>
        <w:t xml:space="preserve">Mix, K. S., </w:t>
      </w:r>
      <w:proofErr w:type="spellStart"/>
      <w:r>
        <w:t>Huttenlocher</w:t>
      </w:r>
      <w:proofErr w:type="spellEnd"/>
      <w:r>
        <w:t xml:space="preserve">, J., &amp; Levine, S. C. (2002). </w:t>
      </w:r>
      <w:r>
        <w:rPr>
          <w:i/>
          <w:iCs/>
        </w:rPr>
        <w:t>Quantitative development in infancy and early childhood</w:t>
      </w:r>
      <w:r>
        <w:t>. Oxford University Press.</w:t>
      </w:r>
    </w:p>
    <w:p w14:paraId="2B16424F" w14:textId="77777777" w:rsidR="005D4CD1" w:rsidRPr="004F5719" w:rsidRDefault="00000000">
      <w:pPr>
        <w:pStyle w:val="Literaturverzeichnis"/>
        <w:rPr>
          <w:ins w:id="632" w:author="Revision" w:date="2026-04-24T11:50:00Z" w16du:dateUtc="2026-04-24T09:50:00Z"/>
          <w:lang w:val="fr-FR"/>
        </w:rPr>
      </w:pPr>
      <w:bookmarkStart w:id="633" w:name="ref-moore2013three"/>
      <w:bookmarkEnd w:id="631"/>
      <w:ins w:id="634" w:author="Revision" w:date="2026-04-24T11:50:00Z" w16du:dateUtc="2026-04-24T09:50:00Z">
        <w:r>
          <w:t xml:space="preserve">Moore, R., Liebal, K., &amp; Tomasello, M. (2013). Three-year-olds understand communicative intentions without language, gestures, or gaze. </w:t>
        </w:r>
        <w:r w:rsidRPr="004F5719">
          <w:rPr>
            <w:i/>
            <w:iCs/>
            <w:lang w:val="fr-FR"/>
          </w:rPr>
          <w:t xml:space="preserve">Interaction </w:t>
        </w:r>
        <w:proofErr w:type="spellStart"/>
        <w:r w:rsidRPr="004F5719">
          <w:rPr>
            <w:i/>
            <w:iCs/>
            <w:lang w:val="fr-FR"/>
          </w:rPr>
          <w:t>Studies</w:t>
        </w:r>
        <w:proofErr w:type="spellEnd"/>
        <w:r w:rsidRPr="004F5719">
          <w:rPr>
            <w:lang w:val="fr-FR"/>
          </w:rPr>
          <w:t xml:space="preserve">, </w:t>
        </w:r>
        <w:r w:rsidRPr="004F5719">
          <w:rPr>
            <w:i/>
            <w:iCs/>
            <w:lang w:val="fr-FR"/>
          </w:rPr>
          <w:t>14</w:t>
        </w:r>
        <w:r w:rsidRPr="004F5719">
          <w:rPr>
            <w:lang w:val="fr-FR"/>
          </w:rPr>
          <w:t>(1), 62–80.</w:t>
        </w:r>
      </w:ins>
    </w:p>
    <w:p w14:paraId="0FFAA333" w14:textId="77777777" w:rsidR="005D4CD1" w:rsidRDefault="00000000">
      <w:pPr>
        <w:pStyle w:val="Literaturverzeichnis"/>
      </w:pPr>
      <w:bookmarkStart w:id="635" w:name="ref-nolle2020language"/>
      <w:bookmarkEnd w:id="633"/>
      <w:proofErr w:type="spellStart"/>
      <w:r w:rsidRPr="004F5719">
        <w:rPr>
          <w:lang w:val="fr-FR"/>
        </w:rPr>
        <w:t>Nölle</w:t>
      </w:r>
      <w:proofErr w:type="spellEnd"/>
      <w:r w:rsidRPr="004F5719">
        <w:rPr>
          <w:lang w:val="fr-FR"/>
        </w:rPr>
        <w:t xml:space="preserve">, J., </w:t>
      </w:r>
      <w:proofErr w:type="spellStart"/>
      <w:r w:rsidRPr="004F5719">
        <w:rPr>
          <w:lang w:val="fr-FR"/>
        </w:rPr>
        <w:t>Fusaroli</w:t>
      </w:r>
      <w:proofErr w:type="spellEnd"/>
      <w:r w:rsidRPr="004F5719">
        <w:rPr>
          <w:lang w:val="fr-FR"/>
        </w:rPr>
        <w:t xml:space="preserve">, R., Mills, G. J., &amp; </w:t>
      </w:r>
      <w:proofErr w:type="spellStart"/>
      <w:r w:rsidRPr="004F5719">
        <w:rPr>
          <w:lang w:val="fr-FR"/>
        </w:rPr>
        <w:t>Tylén</w:t>
      </w:r>
      <w:proofErr w:type="spellEnd"/>
      <w:r w:rsidRPr="004F5719">
        <w:rPr>
          <w:lang w:val="fr-FR"/>
        </w:rPr>
        <w:t xml:space="preserve">, K. (2020). </w:t>
      </w:r>
      <w:r>
        <w:t xml:space="preserve">Language as shaped by the environment: Linguistic construal in a collaborative spatial task. </w:t>
      </w:r>
      <w:r>
        <w:rPr>
          <w:i/>
          <w:iCs/>
        </w:rPr>
        <w:t>Palgrave Communications</w:t>
      </w:r>
      <w:r>
        <w:t xml:space="preserve">, </w:t>
      </w:r>
      <w:r>
        <w:rPr>
          <w:i/>
          <w:iCs/>
        </w:rPr>
        <w:t>6</w:t>
      </w:r>
      <w:r>
        <w:t>(1), 1–10.</w:t>
      </w:r>
    </w:p>
    <w:p w14:paraId="1D538E7B" w14:textId="77777777" w:rsidR="005D4CD1" w:rsidRDefault="00000000">
      <w:pPr>
        <w:pStyle w:val="Literaturverzeichnis"/>
        <w:rPr>
          <w:ins w:id="636" w:author="Revision" w:date="2026-04-24T11:50:00Z" w16du:dateUtc="2026-04-24T09:50:00Z"/>
        </w:rPr>
      </w:pPr>
      <w:bookmarkStart w:id="637" w:name="ref-olson1994world"/>
      <w:bookmarkEnd w:id="635"/>
      <w:ins w:id="638" w:author="Revision" w:date="2026-04-24T11:50:00Z" w16du:dateUtc="2026-04-24T09:50:00Z">
        <w:r>
          <w:t xml:space="preserve">Olson, D. R. (1994). </w:t>
        </w:r>
        <w:r>
          <w:rPr>
            <w:i/>
            <w:iCs/>
          </w:rPr>
          <w:t>The world on paper: The conceptual and cognitive implications of writing and reading</w:t>
        </w:r>
        <w:r>
          <w:t>. Cambridge University Press.</w:t>
        </w:r>
      </w:ins>
    </w:p>
    <w:p w14:paraId="298DCBF1" w14:textId="77777777" w:rsidR="005D4CD1" w:rsidRDefault="00000000">
      <w:pPr>
        <w:pStyle w:val="Literaturverzeichnis"/>
      </w:pPr>
      <w:bookmarkStart w:id="639" w:name="ref-piaget1997mental"/>
      <w:bookmarkEnd w:id="637"/>
      <w:r>
        <w:t xml:space="preserve">Piaget, J., Inhelder, B., &amp; Bovet, M. (1997). </w:t>
      </w:r>
      <w:r>
        <w:rPr>
          <w:i/>
          <w:iCs/>
        </w:rPr>
        <w:t>Mental imagery in the child: A study of the development of imaginal representation</w:t>
      </w:r>
      <w:r>
        <w:t xml:space="preserve">. Routledge. Retrieved from </w:t>
      </w:r>
      <w:hyperlink r:id="rId20">
        <w:r>
          <w:rPr>
            <w:rStyle w:val="Hyperlink"/>
          </w:rPr>
          <w:t>https://books.google.de/books?id=BXrHqqUYu0QC</w:t>
        </w:r>
      </w:hyperlink>
    </w:p>
    <w:p w14:paraId="700CED22" w14:textId="77777777" w:rsidR="00AE3AC5" w:rsidRDefault="00000000">
      <w:pPr>
        <w:pStyle w:val="Literaturverzeichnis"/>
        <w:rPr>
          <w:del w:id="640" w:author="Revision" w:date="2026-04-24T11:50:00Z" w16du:dateUtc="2026-04-24T09:50:00Z"/>
        </w:rPr>
      </w:pPr>
      <w:bookmarkStart w:id="641" w:name="ref-pierroutsakos2003infants"/>
      <w:del w:id="642" w:author="Revision" w:date="2026-04-24T11:50:00Z" w16du:dateUtc="2026-04-24T09:50:00Z">
        <w:r>
          <w:delText xml:space="preserve">Pierroutsakos, S. L., &amp; DeLoache, J. S. (2003). Infants’ manual exploration of pictorial objects varying in realism. </w:delText>
        </w:r>
        <w:r>
          <w:rPr>
            <w:i/>
            <w:iCs/>
          </w:rPr>
          <w:delText>Infancy</w:delText>
        </w:r>
        <w:r>
          <w:delText xml:space="preserve">, </w:delText>
        </w:r>
        <w:r>
          <w:rPr>
            <w:i/>
            <w:iCs/>
          </w:rPr>
          <w:delText>4</w:delText>
        </w:r>
        <w:r>
          <w:delText>(1), 141–156.</w:delText>
        </w:r>
      </w:del>
    </w:p>
    <w:p w14:paraId="3FD5AC6D" w14:textId="77777777" w:rsidR="005D4CD1" w:rsidRDefault="00000000">
      <w:pPr>
        <w:pStyle w:val="Literaturverzeichnis"/>
      </w:pPr>
      <w:bookmarkStart w:id="643" w:name="ref-rakoczy2022foundations"/>
      <w:bookmarkEnd w:id="639"/>
      <w:bookmarkEnd w:id="641"/>
      <w:r>
        <w:t xml:space="preserve">Rakoczy, H. (2022). Foundations of theory of mind and its development in early childhood. </w:t>
      </w:r>
      <w:r>
        <w:rPr>
          <w:i/>
          <w:iCs/>
        </w:rPr>
        <w:t>Nature Reviews Psychology</w:t>
      </w:r>
      <w:r>
        <w:t xml:space="preserve">, </w:t>
      </w:r>
      <w:r>
        <w:rPr>
          <w:i/>
          <w:iCs/>
        </w:rPr>
        <w:t>1</w:t>
      </w:r>
      <w:r>
        <w:t>(4), 223–235.</w:t>
      </w:r>
    </w:p>
    <w:p w14:paraId="03449D34" w14:textId="77777777" w:rsidR="005D4CD1" w:rsidRDefault="00000000">
      <w:pPr>
        <w:pStyle w:val="Literaturverzeichnis"/>
      </w:pPr>
      <w:bookmarkStart w:id="644" w:name="ref-rattermann1998more"/>
      <w:bookmarkEnd w:id="643"/>
      <w:r>
        <w:t xml:space="preserve">Rattermann, M. J., &amp; Gentner, D. (1998). More evidence for a relational shift in the development of analogy: Children’s performance on a causal-mapping task. </w:t>
      </w:r>
      <w:r>
        <w:rPr>
          <w:i/>
          <w:iCs/>
        </w:rPr>
        <w:t>Cognitive Development</w:t>
      </w:r>
      <w:r>
        <w:t xml:space="preserve">, </w:t>
      </w:r>
      <w:r>
        <w:rPr>
          <w:i/>
          <w:iCs/>
        </w:rPr>
        <w:t>13</w:t>
      </w:r>
      <w:r>
        <w:t>(4), 453–478.</w:t>
      </w:r>
    </w:p>
    <w:p w14:paraId="7A4F91EE" w14:textId="77777777" w:rsidR="005D4CD1" w:rsidRDefault="00000000">
      <w:pPr>
        <w:pStyle w:val="Literaturverzeichnis"/>
      </w:pPr>
      <w:bookmarkStart w:id="645" w:name="ref-raviv2018systematicity"/>
      <w:bookmarkEnd w:id="644"/>
      <w:r>
        <w:t xml:space="preserve">Raviv, L., &amp; Arnon, I. (2018). Systematicity, but not compositionality: Examining the emergence of linguistic structure in children and adults using iterated learning. </w:t>
      </w:r>
      <w:r>
        <w:rPr>
          <w:i/>
          <w:iCs/>
        </w:rPr>
        <w:t>Cognition</w:t>
      </w:r>
      <w:r>
        <w:t xml:space="preserve">, </w:t>
      </w:r>
      <w:r>
        <w:rPr>
          <w:i/>
          <w:iCs/>
        </w:rPr>
        <w:t>181</w:t>
      </w:r>
      <w:r>
        <w:t>, 160–173.</w:t>
      </w:r>
    </w:p>
    <w:p w14:paraId="599E4096" w14:textId="77777777" w:rsidR="005D4CD1" w:rsidRDefault="00000000">
      <w:pPr>
        <w:pStyle w:val="Literaturverzeichnis"/>
      </w:pPr>
      <w:bookmarkStart w:id="646" w:name="ref-reilly2022developmental"/>
      <w:bookmarkEnd w:id="645"/>
      <w:r>
        <w:lastRenderedPageBreak/>
        <w:t xml:space="preserve">Reilly, S. E., Downer, J. T., &amp; Grimm, K. J. (2022). Developmental trajectories of executive functions from preschool to kindergarten. </w:t>
      </w:r>
      <w:r>
        <w:rPr>
          <w:i/>
          <w:iCs/>
        </w:rPr>
        <w:t>Developmental Science</w:t>
      </w:r>
      <w:r>
        <w:t xml:space="preserve">, </w:t>
      </w:r>
      <w:r>
        <w:rPr>
          <w:i/>
          <w:iCs/>
        </w:rPr>
        <w:t>25</w:t>
      </w:r>
      <w:r>
        <w:t>(5), e13236.</w:t>
      </w:r>
    </w:p>
    <w:p w14:paraId="2720A544" w14:textId="77777777" w:rsidR="005D4CD1" w:rsidRDefault="00000000">
      <w:pPr>
        <w:pStyle w:val="Literaturverzeichnis"/>
      </w:pPr>
      <w:bookmarkStart w:id="647" w:name="ref-richland2006children"/>
      <w:bookmarkEnd w:id="646"/>
      <w:r>
        <w:t xml:space="preserve">Richland, L. E., Morrison, R. G., &amp; Holyoak, K. J. (2006). Children’s development of analogical reasoning: Insights from scene analogy problems. </w:t>
      </w:r>
      <w:r>
        <w:rPr>
          <w:i/>
          <w:iCs/>
        </w:rPr>
        <w:t>Journal of Experimental Child Psychology</w:t>
      </w:r>
      <w:r>
        <w:t xml:space="preserve">, </w:t>
      </w:r>
      <w:r>
        <w:rPr>
          <w:i/>
          <w:iCs/>
        </w:rPr>
        <w:t>94</w:t>
      </w:r>
      <w:r>
        <w:t>(3), 249–273.</w:t>
      </w:r>
    </w:p>
    <w:p w14:paraId="2A70F553" w14:textId="77777777" w:rsidR="005D4CD1" w:rsidRDefault="00000000">
      <w:pPr>
        <w:pStyle w:val="Literaturverzeichnis"/>
      </w:pPr>
      <w:bookmarkStart w:id="648" w:name="ref-schmidt2021fruhpadagogische"/>
      <w:bookmarkEnd w:id="647"/>
      <w:r>
        <w:t xml:space="preserve">Schmidt, T., Sauerbrey, U., &amp; Smidt, W. (2021). </w:t>
      </w:r>
      <w:r w:rsidRPr="004F5719">
        <w:rPr>
          <w:i/>
          <w:iCs/>
          <w:lang w:val="de-DE"/>
        </w:rPr>
        <w:t xml:space="preserve">Frühpädagogische </w:t>
      </w:r>
      <w:proofErr w:type="spellStart"/>
      <w:r w:rsidRPr="004F5719">
        <w:rPr>
          <w:i/>
          <w:iCs/>
          <w:lang w:val="de-DE"/>
        </w:rPr>
        <w:t>handlungskonzepte</w:t>
      </w:r>
      <w:proofErr w:type="spellEnd"/>
      <w:r w:rsidRPr="004F5719">
        <w:rPr>
          <w:i/>
          <w:iCs/>
          <w:lang w:val="de-DE"/>
        </w:rPr>
        <w:t xml:space="preserve">: Eine wissenschaftliche </w:t>
      </w:r>
      <w:proofErr w:type="spellStart"/>
      <w:r w:rsidRPr="004F5719">
        <w:rPr>
          <w:i/>
          <w:iCs/>
          <w:lang w:val="de-DE"/>
        </w:rPr>
        <w:t>bestandsaufnahme</w:t>
      </w:r>
      <w:proofErr w:type="spellEnd"/>
      <w:r w:rsidRPr="004F5719">
        <w:rPr>
          <w:lang w:val="de-DE"/>
        </w:rPr>
        <w:t xml:space="preserve">. </w:t>
      </w:r>
      <w:r>
        <w:t>UTB.</w:t>
      </w:r>
    </w:p>
    <w:p w14:paraId="4A803FE7" w14:textId="77777777" w:rsidR="005D4CD1" w:rsidRDefault="00000000">
      <w:pPr>
        <w:pStyle w:val="Literaturverzeichnis"/>
        <w:rPr>
          <w:ins w:id="649" w:author="Revision" w:date="2026-04-24T11:50:00Z" w16du:dateUtc="2026-04-24T09:50:00Z"/>
        </w:rPr>
      </w:pPr>
      <w:bookmarkStart w:id="650" w:name="ref-shepp1987development"/>
      <w:bookmarkEnd w:id="648"/>
      <w:ins w:id="651" w:author="Revision" w:date="2026-04-24T11:50:00Z" w16du:dateUtc="2026-04-24T09:50:00Z">
        <w:r>
          <w:t xml:space="preserve">Shepp, B. E., Barrett, S. E., &amp; Kolbet, L. L. (1987). The development of selective attention: Holistic perception versus resource allocation. </w:t>
        </w:r>
        <w:r>
          <w:rPr>
            <w:i/>
            <w:iCs/>
          </w:rPr>
          <w:t>Journal of Experimental Child Psychology</w:t>
        </w:r>
        <w:r>
          <w:t xml:space="preserve">, </w:t>
        </w:r>
        <w:r>
          <w:rPr>
            <w:i/>
            <w:iCs/>
          </w:rPr>
          <w:t>43</w:t>
        </w:r>
        <w:r>
          <w:t>(2), 159–180.</w:t>
        </w:r>
      </w:ins>
    </w:p>
    <w:p w14:paraId="35205716" w14:textId="77777777" w:rsidR="005D4CD1" w:rsidRDefault="00000000">
      <w:pPr>
        <w:pStyle w:val="Literaturverzeichnis"/>
      </w:pPr>
      <w:bookmarkStart w:id="652" w:name="ref-shivaram2023children"/>
      <w:bookmarkEnd w:id="650"/>
      <w:r>
        <w:t xml:space="preserve">Shivaram, A., Shao, R., Simms, N., </w:t>
      </w:r>
      <w:proofErr w:type="spellStart"/>
      <w:r>
        <w:t>Hespos</w:t>
      </w:r>
      <w:proofErr w:type="spellEnd"/>
      <w:r>
        <w:t xml:space="preserve">, S., &amp; Gentner, D. (2023). When do children pass the relational-match-to-sample task? </w:t>
      </w:r>
      <w:r>
        <w:rPr>
          <w:i/>
          <w:iCs/>
        </w:rPr>
        <w:t>Proceedings of the Annual Meeting of the Cognitive Science Society</w:t>
      </w:r>
      <w:r>
        <w:t xml:space="preserve">, </w:t>
      </w:r>
      <w:r>
        <w:rPr>
          <w:i/>
          <w:iCs/>
        </w:rPr>
        <w:t>45</w:t>
      </w:r>
      <w:r>
        <w:t>.</w:t>
      </w:r>
    </w:p>
    <w:p w14:paraId="34B9BC7D" w14:textId="77777777" w:rsidR="005D4CD1" w:rsidRDefault="00000000">
      <w:pPr>
        <w:pStyle w:val="Literaturverzeichnis"/>
      </w:pPr>
      <w:bookmarkStart w:id="653" w:name="ref-shusterman2008young"/>
      <w:bookmarkEnd w:id="652"/>
      <w:proofErr w:type="spellStart"/>
      <w:r w:rsidRPr="004F5719">
        <w:rPr>
          <w:lang w:val="nl-NL"/>
        </w:rPr>
        <w:t>Shusterman</w:t>
      </w:r>
      <w:proofErr w:type="spellEnd"/>
      <w:r w:rsidRPr="004F5719">
        <w:rPr>
          <w:lang w:val="nl-NL"/>
        </w:rPr>
        <w:t xml:space="preserve">, A., Ah Lee, S., &amp; </w:t>
      </w:r>
      <w:proofErr w:type="spellStart"/>
      <w:r w:rsidRPr="004F5719">
        <w:rPr>
          <w:lang w:val="nl-NL"/>
        </w:rPr>
        <w:t>Spelke</w:t>
      </w:r>
      <w:proofErr w:type="spellEnd"/>
      <w:r w:rsidRPr="004F5719">
        <w:rPr>
          <w:lang w:val="nl-NL"/>
        </w:rPr>
        <w:t xml:space="preserve">, E. S. (2008). </w:t>
      </w:r>
      <w:r>
        <w:t xml:space="preserve">Young children’s spontaneous use of geometry in maps. </w:t>
      </w:r>
      <w:r>
        <w:rPr>
          <w:i/>
          <w:iCs/>
        </w:rPr>
        <w:t>Developmental Science</w:t>
      </w:r>
      <w:r>
        <w:t xml:space="preserve">, </w:t>
      </w:r>
      <w:r>
        <w:rPr>
          <w:i/>
          <w:iCs/>
        </w:rPr>
        <w:t>11</w:t>
      </w:r>
      <w:r>
        <w:t>(2), F1–F7.</w:t>
      </w:r>
    </w:p>
    <w:p w14:paraId="5480C48D" w14:textId="77777777" w:rsidR="005D4CD1" w:rsidRDefault="00000000">
      <w:pPr>
        <w:pStyle w:val="Literaturverzeichnis"/>
      </w:pPr>
      <w:bookmarkStart w:id="654" w:name="ref-sidhu2025sound"/>
      <w:bookmarkEnd w:id="653"/>
      <w:r>
        <w:t xml:space="preserve">Sidhu, D. M. (2025). Sound symbolism in the lexicon: A review of iconic-systematicity. </w:t>
      </w:r>
      <w:r>
        <w:rPr>
          <w:i/>
          <w:iCs/>
        </w:rPr>
        <w:t>Language and Linguistics Compass</w:t>
      </w:r>
      <w:r>
        <w:t xml:space="preserve">, </w:t>
      </w:r>
      <w:r>
        <w:rPr>
          <w:i/>
          <w:iCs/>
        </w:rPr>
        <w:t>19</w:t>
      </w:r>
      <w:r>
        <w:t>(1), e70006.</w:t>
      </w:r>
    </w:p>
    <w:p w14:paraId="6B013774" w14:textId="77777777" w:rsidR="005D4CD1" w:rsidRDefault="00000000">
      <w:pPr>
        <w:pStyle w:val="Literaturverzeichnis"/>
      </w:pPr>
      <w:bookmarkStart w:id="655" w:name="ref-silver2022environmental"/>
      <w:bookmarkEnd w:id="654"/>
      <w:r>
        <w:t xml:space="preserve">Silver, A. M., &amp; Libertus, M. E. (2022). Environmental influences on mathematics performance in early childhood. </w:t>
      </w:r>
      <w:r>
        <w:rPr>
          <w:i/>
          <w:iCs/>
        </w:rPr>
        <w:t>Nature Reviews Psychology</w:t>
      </w:r>
      <w:r>
        <w:t xml:space="preserve">, </w:t>
      </w:r>
      <w:r>
        <w:rPr>
          <w:i/>
          <w:iCs/>
        </w:rPr>
        <w:t>1</w:t>
      </w:r>
      <w:r>
        <w:t>(7), 407–418.</w:t>
      </w:r>
    </w:p>
    <w:p w14:paraId="28B93C00" w14:textId="77777777" w:rsidR="005D4CD1" w:rsidRDefault="00000000">
      <w:pPr>
        <w:pStyle w:val="Literaturverzeichnis"/>
      </w:pPr>
      <w:bookmarkStart w:id="656" w:name="ref-simms2018working"/>
      <w:bookmarkEnd w:id="655"/>
      <w:r>
        <w:t xml:space="preserve">Simms, N. K., </w:t>
      </w:r>
      <w:proofErr w:type="spellStart"/>
      <w:r>
        <w:t>Frausel</w:t>
      </w:r>
      <w:proofErr w:type="spellEnd"/>
      <w:r>
        <w:t xml:space="preserve">, R. R., &amp; Richland, L. E. (2018). Working memory predicts children’s analogical reasoning. </w:t>
      </w:r>
      <w:r>
        <w:rPr>
          <w:i/>
          <w:iCs/>
        </w:rPr>
        <w:t>Journal of Experimental Child Psychology</w:t>
      </w:r>
      <w:r>
        <w:t xml:space="preserve">, </w:t>
      </w:r>
      <w:r>
        <w:rPr>
          <w:i/>
          <w:iCs/>
        </w:rPr>
        <w:t>166</w:t>
      </w:r>
      <w:r>
        <w:t>, 160–177.</w:t>
      </w:r>
    </w:p>
    <w:p w14:paraId="653FA457" w14:textId="77777777" w:rsidR="005D4CD1" w:rsidRDefault="00000000">
      <w:pPr>
        <w:pStyle w:val="Literaturverzeichnis"/>
      </w:pPr>
      <w:bookmarkStart w:id="657" w:name="ref-sivula2020uncertainty"/>
      <w:bookmarkEnd w:id="656"/>
      <w:r>
        <w:lastRenderedPageBreak/>
        <w:t xml:space="preserve">Sivula, T., Magnusson, M., Matamoros, A. A., &amp; </w:t>
      </w:r>
      <w:proofErr w:type="spellStart"/>
      <w:r>
        <w:t>Vehtari</w:t>
      </w:r>
      <w:proofErr w:type="spellEnd"/>
      <w:r>
        <w:t xml:space="preserve">, A. (2020). Uncertainty in </w:t>
      </w:r>
      <w:proofErr w:type="spellStart"/>
      <w:r>
        <w:t>bayesian</w:t>
      </w:r>
      <w:proofErr w:type="spellEnd"/>
      <w:r>
        <w:t xml:space="preserve"> leave-one-out cross-validation based model comparison. </w:t>
      </w:r>
      <w:proofErr w:type="spellStart"/>
      <w:r>
        <w:rPr>
          <w:i/>
          <w:iCs/>
        </w:rPr>
        <w:t>arXiv</w:t>
      </w:r>
      <w:proofErr w:type="spellEnd"/>
      <w:r>
        <w:rPr>
          <w:i/>
          <w:iCs/>
        </w:rPr>
        <w:t xml:space="preserve"> Preprint arXiv:2008.10296</w:t>
      </w:r>
      <w:r>
        <w:t>.</w:t>
      </w:r>
    </w:p>
    <w:p w14:paraId="55907D5D" w14:textId="77777777" w:rsidR="005D4CD1" w:rsidRDefault="00000000">
      <w:pPr>
        <w:pStyle w:val="Literaturverzeichnis"/>
        <w:rPr>
          <w:ins w:id="658" w:author="Revision" w:date="2026-04-24T11:50:00Z" w16du:dateUtc="2026-04-24T09:50:00Z"/>
        </w:rPr>
      </w:pPr>
      <w:bookmarkStart w:id="659" w:name="ref-sodian2004infants"/>
      <w:bookmarkEnd w:id="657"/>
      <w:proofErr w:type="spellStart"/>
      <w:ins w:id="660" w:author="Revision" w:date="2026-04-24T11:50:00Z" w16du:dateUtc="2026-04-24T09:50:00Z">
        <w:r>
          <w:t>Sodian</w:t>
        </w:r>
        <w:proofErr w:type="spellEnd"/>
        <w:r>
          <w:t xml:space="preserve">, B., &amp; </w:t>
        </w:r>
        <w:proofErr w:type="spellStart"/>
        <w:r>
          <w:t>Thoermer</w:t>
        </w:r>
        <w:proofErr w:type="spellEnd"/>
        <w:r>
          <w:t xml:space="preserve">, C. (2004). Infants’ understanding of looking, pointing, and reaching as cues to goal-directed action. </w:t>
        </w:r>
        <w:r>
          <w:rPr>
            <w:i/>
            <w:iCs/>
          </w:rPr>
          <w:t>Journal of Cognition and Development</w:t>
        </w:r>
        <w:r>
          <w:t xml:space="preserve">, </w:t>
        </w:r>
        <w:r>
          <w:rPr>
            <w:i/>
            <w:iCs/>
          </w:rPr>
          <w:t>5</w:t>
        </w:r>
        <w:r>
          <w:t>(3), 289–316.</w:t>
        </w:r>
      </w:ins>
    </w:p>
    <w:p w14:paraId="232637DF" w14:textId="77777777" w:rsidR="005D4CD1" w:rsidRDefault="00000000">
      <w:pPr>
        <w:pStyle w:val="Literaturverzeichnis"/>
      </w:pPr>
      <w:bookmarkStart w:id="661" w:name="ref-RStan"/>
      <w:bookmarkEnd w:id="659"/>
      <w:r>
        <w:t xml:space="preserve">Stan Development Team. (n.d.). </w:t>
      </w:r>
      <w:proofErr w:type="spellStart"/>
      <w:r>
        <w:rPr>
          <w:i/>
          <w:iCs/>
        </w:rPr>
        <w:t>RStan</w:t>
      </w:r>
      <w:proofErr w:type="spellEnd"/>
      <w:r>
        <w:rPr>
          <w:i/>
          <w:iCs/>
        </w:rPr>
        <w:t>: The R interface to Stan</w:t>
      </w:r>
      <w:r>
        <w:t xml:space="preserve">. Retrieved from </w:t>
      </w:r>
      <w:hyperlink r:id="rId21">
        <w:r>
          <w:rPr>
            <w:rStyle w:val="Hyperlink"/>
          </w:rPr>
          <w:t>https://mc-stan.org/</w:t>
        </w:r>
      </w:hyperlink>
    </w:p>
    <w:p w14:paraId="0C3A2CBF" w14:textId="77777777" w:rsidR="005D4CD1" w:rsidRDefault="00000000">
      <w:pPr>
        <w:pStyle w:val="Literaturverzeichnis"/>
      </w:pPr>
      <w:bookmarkStart w:id="662" w:name="ref-starr2013number"/>
      <w:bookmarkEnd w:id="661"/>
      <w:r w:rsidRPr="004F5719">
        <w:rPr>
          <w:lang w:val="fr-FR"/>
        </w:rPr>
        <w:t xml:space="preserve">Starr, A., Libertus, M. E., &amp; Brannon, E. M. (2013). </w:t>
      </w:r>
      <w:r>
        <w:t xml:space="preserve">Number sense in infancy predicts mathematical abilities in childhood. </w:t>
      </w:r>
      <w:r>
        <w:rPr>
          <w:i/>
          <w:iCs/>
        </w:rPr>
        <w:t>Proceedings of the National Academy of Sciences</w:t>
      </w:r>
      <w:r>
        <w:t xml:space="preserve">, </w:t>
      </w:r>
      <w:r>
        <w:rPr>
          <w:i/>
          <w:iCs/>
        </w:rPr>
        <w:t>110</w:t>
      </w:r>
      <w:r>
        <w:t>(45), 18116–18120.</w:t>
      </w:r>
    </w:p>
    <w:p w14:paraId="2ED360D9" w14:textId="77777777" w:rsidR="005D4CD1" w:rsidRDefault="00000000">
      <w:pPr>
        <w:pStyle w:val="Literaturverzeichnis"/>
      </w:pPr>
      <w:bookmarkStart w:id="663" w:name="ref-stevenson2014visual"/>
      <w:bookmarkEnd w:id="662"/>
      <w:r>
        <w:t xml:space="preserve">Stevenson, C. E., Alberto, R. A., Boom, M. A. van den, &amp; Boeck, P. A. de. (2014). Visual relations children find easy and difficult to process in figural analogies. </w:t>
      </w:r>
      <w:r>
        <w:rPr>
          <w:i/>
          <w:iCs/>
        </w:rPr>
        <w:t>Frontiers in Psychology</w:t>
      </w:r>
      <w:r>
        <w:t xml:space="preserve">, </w:t>
      </w:r>
      <w:r>
        <w:rPr>
          <w:i/>
          <w:iCs/>
        </w:rPr>
        <w:t>5</w:t>
      </w:r>
      <w:r>
        <w:t>, 827.</w:t>
      </w:r>
    </w:p>
    <w:p w14:paraId="7E3726EA" w14:textId="77777777" w:rsidR="005D4CD1" w:rsidRDefault="00000000">
      <w:pPr>
        <w:pStyle w:val="Literaturverzeichnis"/>
      </w:pPr>
      <w:bookmarkStart w:id="664" w:name="ref-thibaut2010development"/>
      <w:bookmarkEnd w:id="663"/>
      <w:r>
        <w:t xml:space="preserve">Thibaut, J.-P., French, R., &amp; </w:t>
      </w:r>
      <w:proofErr w:type="spellStart"/>
      <w:r>
        <w:t>Vezneva</w:t>
      </w:r>
      <w:proofErr w:type="spellEnd"/>
      <w:r>
        <w:t xml:space="preserve">, M. (2010). The development of analogy making in children: Cognitive load and executive functions. </w:t>
      </w:r>
      <w:r>
        <w:rPr>
          <w:i/>
          <w:iCs/>
        </w:rPr>
        <w:t>Journal of Experimental Child Psychology</w:t>
      </w:r>
      <w:r>
        <w:t xml:space="preserve">, </w:t>
      </w:r>
      <w:r>
        <w:rPr>
          <w:i/>
          <w:iCs/>
        </w:rPr>
        <w:t>106</w:t>
      </w:r>
      <w:r>
        <w:t>(1), 1–19.</w:t>
      </w:r>
    </w:p>
    <w:p w14:paraId="24DCE728" w14:textId="77777777" w:rsidR="005D4CD1" w:rsidRDefault="00000000">
      <w:pPr>
        <w:pStyle w:val="Literaturverzeichnis"/>
        <w:rPr>
          <w:ins w:id="665" w:author="Revision" w:date="2026-04-24T11:50:00Z" w16du:dateUtc="2026-04-24T09:50:00Z"/>
        </w:rPr>
      </w:pPr>
      <w:bookmarkStart w:id="666" w:name="ref-tomasello2010origins"/>
      <w:bookmarkEnd w:id="664"/>
      <w:r>
        <w:t>Tomasello, M. (</w:t>
      </w:r>
      <w:ins w:id="667" w:author="Revision" w:date="2026-04-24T11:50:00Z" w16du:dateUtc="2026-04-24T09:50:00Z">
        <w:r>
          <w:t xml:space="preserve">2010). </w:t>
        </w:r>
        <w:r>
          <w:rPr>
            <w:i/>
            <w:iCs/>
          </w:rPr>
          <w:t>Origins of human communication</w:t>
        </w:r>
        <w:r>
          <w:t>. MIT press.</w:t>
        </w:r>
      </w:ins>
    </w:p>
    <w:p w14:paraId="499C9EA8" w14:textId="77777777" w:rsidR="005D4CD1" w:rsidRDefault="00000000">
      <w:pPr>
        <w:pStyle w:val="Literaturverzeichnis"/>
      </w:pPr>
      <w:bookmarkStart w:id="668" w:name="ref-Tomasello2014natural"/>
      <w:bookmarkEnd w:id="666"/>
      <w:ins w:id="669" w:author="Revision" w:date="2026-04-24T11:50:00Z" w16du:dateUtc="2026-04-24T09:50:00Z">
        <w:r>
          <w:t>Tomasello, M. (</w:t>
        </w:r>
      </w:ins>
      <w:r>
        <w:t xml:space="preserve">2014). </w:t>
      </w:r>
      <w:r>
        <w:rPr>
          <w:i/>
          <w:iCs/>
        </w:rPr>
        <w:t>A natural history of human thinking</w:t>
      </w:r>
      <w:r>
        <w:t>. Cambridge, Massachusetts; London, England: Harvard University Press.</w:t>
      </w:r>
    </w:p>
    <w:p w14:paraId="187F648E" w14:textId="77777777" w:rsidR="005D4CD1" w:rsidRDefault="00000000">
      <w:pPr>
        <w:pStyle w:val="Literaturverzeichnis"/>
        <w:rPr>
          <w:ins w:id="670" w:author="Revision" w:date="2026-04-24T11:50:00Z" w16du:dateUtc="2026-04-24T09:50:00Z"/>
        </w:rPr>
      </w:pPr>
      <w:bookmarkStart w:id="671" w:name="ref-Tomasello1997comprehension"/>
      <w:bookmarkEnd w:id="668"/>
      <w:ins w:id="672" w:author="Revision" w:date="2026-04-24T11:50:00Z" w16du:dateUtc="2026-04-24T09:50:00Z">
        <w:r>
          <w:t xml:space="preserve">Tomasello, M., Call, J., &amp; Gluckman, A. (1997). Comprehension of novel communicative signs by apes and human children. </w:t>
        </w:r>
        <w:r>
          <w:rPr>
            <w:i/>
            <w:iCs/>
          </w:rPr>
          <w:t>Child Development</w:t>
        </w:r>
        <w:r>
          <w:t xml:space="preserve">, </w:t>
        </w:r>
        <w:r>
          <w:rPr>
            <w:i/>
            <w:iCs/>
          </w:rPr>
          <w:t>68</w:t>
        </w:r>
        <w:r>
          <w:t>(6), 1067–1080.</w:t>
        </w:r>
      </w:ins>
    </w:p>
    <w:p w14:paraId="6A416709" w14:textId="77777777" w:rsidR="005D4CD1" w:rsidRDefault="00000000">
      <w:pPr>
        <w:pStyle w:val="Literaturverzeichnis"/>
        <w:rPr>
          <w:ins w:id="673" w:author="Revision" w:date="2026-04-24T11:50:00Z" w16du:dateUtc="2026-04-24T09:50:00Z"/>
        </w:rPr>
      </w:pPr>
      <w:bookmarkStart w:id="674" w:name="ref-Tomasello2007new"/>
      <w:bookmarkEnd w:id="671"/>
      <w:ins w:id="675" w:author="Revision" w:date="2026-04-24T11:50:00Z" w16du:dateUtc="2026-04-24T09:50:00Z">
        <w:r>
          <w:lastRenderedPageBreak/>
          <w:t xml:space="preserve">Tomasello, M., Carpenter, M., &amp; </w:t>
        </w:r>
        <w:proofErr w:type="spellStart"/>
        <w:r>
          <w:t>Liszkowski</w:t>
        </w:r>
        <w:proofErr w:type="spellEnd"/>
        <w:r>
          <w:t xml:space="preserve">, U. (2007). A new look at infant pointing. </w:t>
        </w:r>
        <w:r>
          <w:rPr>
            <w:i/>
            <w:iCs/>
          </w:rPr>
          <w:t>Child Development</w:t>
        </w:r>
        <w:r>
          <w:t xml:space="preserve">, </w:t>
        </w:r>
        <w:r>
          <w:rPr>
            <w:i/>
            <w:iCs/>
          </w:rPr>
          <w:t>78</w:t>
        </w:r>
        <w:r>
          <w:t xml:space="preserve">(3), 705–722. </w:t>
        </w:r>
      </w:ins>
      <w:hyperlink r:id="rId22">
        <w:r>
          <w:rPr>
            <w:rStyle w:val="Hyperlink"/>
          </w:rPr>
          <w:t>https://doi.org/10.1111/j.1467-8624.2007.01025.x</w:t>
        </w:r>
      </w:hyperlink>
    </w:p>
    <w:p w14:paraId="6A1AC119" w14:textId="77777777" w:rsidR="005D4CD1" w:rsidRDefault="00000000">
      <w:pPr>
        <w:pStyle w:val="Literaturverzeichnis"/>
        <w:rPr>
          <w:ins w:id="676" w:author="Revision" w:date="2026-04-24T11:50:00Z" w16du:dateUtc="2026-04-24T09:50:00Z"/>
        </w:rPr>
      </w:pPr>
      <w:bookmarkStart w:id="677" w:name="ref-Tomasello1999do"/>
      <w:bookmarkEnd w:id="674"/>
      <w:ins w:id="678" w:author="Revision" w:date="2026-04-24T11:50:00Z" w16du:dateUtc="2026-04-24T09:50:00Z">
        <w:r>
          <w:t xml:space="preserve">Tomasello, M., Striano, T., &amp; Rochat, P. (1999). Do young children use objects as symbols? </w:t>
        </w:r>
        <w:r>
          <w:rPr>
            <w:i/>
            <w:iCs/>
          </w:rPr>
          <w:t>British Journal of Developmental Psychology</w:t>
        </w:r>
        <w:r>
          <w:t xml:space="preserve">, </w:t>
        </w:r>
        <w:r>
          <w:rPr>
            <w:i/>
            <w:iCs/>
          </w:rPr>
          <w:t>17</w:t>
        </w:r>
        <w:r>
          <w:t>(4), 563–584.</w:t>
        </w:r>
      </w:ins>
    </w:p>
    <w:p w14:paraId="1F6ECD73" w14:textId="77777777" w:rsidR="005D4CD1" w:rsidRDefault="00000000">
      <w:pPr>
        <w:pStyle w:val="Literaturverzeichnis"/>
      </w:pPr>
      <w:bookmarkStart w:id="679" w:name="ref-uttal1989young"/>
      <w:bookmarkEnd w:id="677"/>
      <w:r>
        <w:t xml:space="preserve">Uttal, D. H., &amp; Wellman, H. M. (1989). Young children’s representation of spatial information acquired from maps. </w:t>
      </w:r>
      <w:r>
        <w:rPr>
          <w:i/>
          <w:iCs/>
        </w:rPr>
        <w:t>Developmental Psychology</w:t>
      </w:r>
      <w:r>
        <w:t xml:space="preserve">, </w:t>
      </w:r>
      <w:r>
        <w:rPr>
          <w:i/>
          <w:iCs/>
        </w:rPr>
        <w:t>25</w:t>
      </w:r>
      <w:r>
        <w:t>(1), 128.</w:t>
      </w:r>
    </w:p>
    <w:p w14:paraId="78CC87CB" w14:textId="77777777" w:rsidR="005D4CD1" w:rsidRDefault="00000000">
      <w:pPr>
        <w:pStyle w:val="Literaturverzeichnis"/>
      </w:pPr>
      <w:bookmarkStart w:id="680" w:name="ref-valenza2006perceptual"/>
      <w:bookmarkEnd w:id="679"/>
      <w:r>
        <w:t xml:space="preserve">Valenza, E., Leo, I., Gava, L., &amp; Simion, F. (2006). Perceptual completion in newborn human infants. </w:t>
      </w:r>
      <w:r>
        <w:rPr>
          <w:i/>
          <w:iCs/>
        </w:rPr>
        <w:t>Child Development</w:t>
      </w:r>
      <w:r>
        <w:t xml:space="preserve">, </w:t>
      </w:r>
      <w:r>
        <w:rPr>
          <w:i/>
          <w:iCs/>
        </w:rPr>
        <w:t>77</w:t>
      </w:r>
      <w:r>
        <w:t>(6), 1810–1821.</w:t>
      </w:r>
    </w:p>
    <w:p w14:paraId="598280D6" w14:textId="77777777" w:rsidR="005D4CD1" w:rsidRDefault="00000000">
      <w:pPr>
        <w:pStyle w:val="Literaturverzeichnis"/>
      </w:pPr>
      <w:bookmarkStart w:id="681" w:name="ref-verdine2017shape"/>
      <w:bookmarkEnd w:id="680"/>
      <w:r>
        <w:t xml:space="preserve">Verdine, B. N., Bunger, A., Athanasopoulou, A., Golinkoff, R. M., &amp; Hirsh-Pasek, K. (2017). Shape up: An eye-tracking study of preschoolers’ shape name processing and spatial development. </w:t>
      </w:r>
      <w:r>
        <w:rPr>
          <w:i/>
          <w:iCs/>
        </w:rPr>
        <w:t>Developmental Psychology</w:t>
      </w:r>
      <w:r>
        <w:t xml:space="preserve">, </w:t>
      </w:r>
      <w:r>
        <w:rPr>
          <w:i/>
          <w:iCs/>
        </w:rPr>
        <w:t>53</w:t>
      </w:r>
      <w:r>
        <w:t>(10), 1869.</w:t>
      </w:r>
    </w:p>
    <w:p w14:paraId="7E9588F3" w14:textId="77777777" w:rsidR="005D4CD1" w:rsidRDefault="00000000">
      <w:pPr>
        <w:pStyle w:val="Literaturverzeichnis"/>
      </w:pPr>
      <w:bookmarkStart w:id="682" w:name="ref-verdine2016shape"/>
      <w:bookmarkEnd w:id="681"/>
      <w:r>
        <w:t xml:space="preserve">Verdine, B. N., Lucca, K. R., Golinkoff, R. M., Hirsh-Pasek, K., &amp; Newcombe, N. S. (2016). The shape of things: The origin of young children’s knowledge of the names and properties of geometric forms. </w:t>
      </w:r>
      <w:r>
        <w:rPr>
          <w:i/>
          <w:iCs/>
        </w:rPr>
        <w:t>Journal of Cognition and Development</w:t>
      </w:r>
      <w:r>
        <w:t xml:space="preserve">, </w:t>
      </w:r>
      <w:r>
        <w:rPr>
          <w:i/>
          <w:iCs/>
        </w:rPr>
        <w:t>17</w:t>
      </w:r>
      <w:r>
        <w:t>(1), 142–161.</w:t>
      </w:r>
    </w:p>
    <w:p w14:paraId="49B3D21B" w14:textId="77777777" w:rsidR="005D4CD1" w:rsidRDefault="00000000">
      <w:pPr>
        <w:pStyle w:val="Literaturverzeichnis"/>
      </w:pPr>
      <w:bookmarkStart w:id="683" w:name="ref-Vygotsky1980mind"/>
      <w:bookmarkEnd w:id="682"/>
      <w:r>
        <w:t xml:space="preserve">Vygotsky, L. S. (1980). </w:t>
      </w:r>
      <w:r>
        <w:rPr>
          <w:i/>
          <w:iCs/>
        </w:rPr>
        <w:t>Mind in society: The development of higher psychological processes</w:t>
      </w:r>
      <w:r>
        <w:t>. Cambridge, MA: Harvard University Press.</w:t>
      </w:r>
    </w:p>
    <w:p w14:paraId="12902B28" w14:textId="77777777" w:rsidR="005D4CD1" w:rsidRDefault="00000000">
      <w:pPr>
        <w:pStyle w:val="Literaturverzeichnis"/>
      </w:pPr>
      <w:bookmarkStart w:id="684" w:name="ref-wellman2001meta"/>
      <w:bookmarkEnd w:id="683"/>
      <w:r>
        <w:t xml:space="preserve">Wellman, H., Cross, D., &amp; Watson, J. (2001). Meta-analysis of theory-of-mind development: The truth about false belief. </w:t>
      </w:r>
      <w:r>
        <w:rPr>
          <w:i/>
          <w:iCs/>
        </w:rPr>
        <w:t>Child Development</w:t>
      </w:r>
      <w:r>
        <w:t xml:space="preserve">, </w:t>
      </w:r>
      <w:r>
        <w:rPr>
          <w:i/>
          <w:iCs/>
        </w:rPr>
        <w:t>72</w:t>
      </w:r>
      <w:r>
        <w:t>(3), 655–684.</w:t>
      </w:r>
    </w:p>
    <w:p w14:paraId="2062564D" w14:textId="77777777" w:rsidR="00AE3AC5" w:rsidRDefault="00000000">
      <w:pPr>
        <w:pStyle w:val="Literaturverzeichnis"/>
        <w:rPr>
          <w:del w:id="685" w:author="Revision" w:date="2026-04-24T11:50:00Z" w16du:dateUtc="2026-04-24T09:50:00Z"/>
        </w:rPr>
      </w:pPr>
      <w:bookmarkStart w:id="686" w:name="ref-wittgenstein2009philosophical"/>
      <w:del w:id="687" w:author="Revision" w:date="2026-04-24T11:50:00Z" w16du:dateUtc="2026-04-24T09:50:00Z">
        <w:r>
          <w:delText xml:space="preserve">Wittgenstein, L. (2009). </w:delText>
        </w:r>
        <w:r>
          <w:rPr>
            <w:i/>
            <w:iCs/>
          </w:rPr>
          <w:delText>Philosophical investigations</w:delText>
        </w:r>
        <w:r>
          <w:delText>. John Wiley &amp; Sons.</w:delText>
        </w:r>
      </w:del>
    </w:p>
    <w:p w14:paraId="3FD44CBD" w14:textId="77777777" w:rsidR="005D4CD1" w:rsidRDefault="00000000">
      <w:pPr>
        <w:pStyle w:val="Literaturverzeichnis"/>
        <w:rPr>
          <w:ins w:id="688" w:author="Revision" w:date="2026-04-24T11:50:00Z" w16du:dateUtc="2026-04-24T09:50:00Z"/>
        </w:rPr>
      </w:pPr>
      <w:bookmarkStart w:id="689" w:name="ref-willoughby2012executive"/>
      <w:bookmarkEnd w:id="684"/>
      <w:bookmarkEnd w:id="686"/>
      <w:ins w:id="690" w:author="Revision" w:date="2026-04-24T11:50:00Z" w16du:dateUtc="2026-04-24T09:50:00Z">
        <w:r>
          <w:lastRenderedPageBreak/>
          <w:t xml:space="preserve">Willoughby, M. T., Wirth, R., &amp; Blair, C. B. (2012). Executive function in early childhood: Longitudinal measurement invariance and developmental change. </w:t>
        </w:r>
        <w:r>
          <w:rPr>
            <w:i/>
            <w:iCs/>
          </w:rPr>
          <w:t>Psychological Assessment</w:t>
        </w:r>
        <w:r>
          <w:t xml:space="preserve">, </w:t>
        </w:r>
        <w:r>
          <w:rPr>
            <w:i/>
            <w:iCs/>
          </w:rPr>
          <w:t>24</w:t>
        </w:r>
        <w:r>
          <w:t>(2), 418.</w:t>
        </w:r>
      </w:ins>
    </w:p>
    <w:p w14:paraId="4E90B2C5" w14:textId="77777777" w:rsidR="005D4CD1" w:rsidRDefault="00000000">
      <w:pPr>
        <w:pStyle w:val="Literaturverzeichnis"/>
      </w:pPr>
      <w:bookmarkStart w:id="691" w:name="ref-winter2026defining"/>
      <w:bookmarkEnd w:id="689"/>
      <w:ins w:id="692" w:author="Revision" w:date="2026-04-24T11:50:00Z" w16du:dateUtc="2026-04-24T09:50:00Z">
        <w:r>
          <w:t xml:space="preserve">Winter, B., Woodin, G., &amp; Perlman, M. (2026). Defining iconicity for the cognitive sciences. In </w:t>
        </w:r>
        <w:r>
          <w:rPr>
            <w:i/>
            <w:iCs/>
          </w:rPr>
          <w:t>The oxford handbook of iconicity in language</w:t>
        </w:r>
        <w:r>
          <w:t xml:space="preserve">. Oxford University Press. </w:t>
        </w:r>
      </w:ins>
      <w:hyperlink r:id="rId23">
        <w:r>
          <w:rPr>
            <w:rStyle w:val="Hyperlink"/>
          </w:rPr>
          <w:t>https://doi.org/10.1093/oxfordhb/9780192849489.013.0012</w:t>
        </w:r>
      </w:hyperlink>
    </w:p>
    <w:p w14:paraId="20270DAE" w14:textId="77777777" w:rsidR="005D4CD1" w:rsidRDefault="00000000">
      <w:pPr>
        <w:pStyle w:val="Literaturverzeichnis"/>
      </w:pPr>
      <w:bookmarkStart w:id="693" w:name="ref-wynn1990children"/>
      <w:bookmarkEnd w:id="691"/>
      <w:r>
        <w:t xml:space="preserve">Wynn, K. (1990). Children’s understanding of counting. </w:t>
      </w:r>
      <w:r>
        <w:rPr>
          <w:i/>
          <w:iCs/>
        </w:rPr>
        <w:t>Cognition</w:t>
      </w:r>
      <w:r>
        <w:t xml:space="preserve">, </w:t>
      </w:r>
      <w:r>
        <w:rPr>
          <w:i/>
          <w:iCs/>
        </w:rPr>
        <w:t>36</w:t>
      </w:r>
      <w:r>
        <w:t>(2), 155–193.</w:t>
      </w:r>
    </w:p>
    <w:p w14:paraId="15448516" w14:textId="77777777" w:rsidR="005D4CD1" w:rsidRDefault="00000000">
      <w:pPr>
        <w:pStyle w:val="Literaturverzeichnis"/>
      </w:pPr>
      <w:bookmarkStart w:id="694" w:name="ref-xu2007number"/>
      <w:bookmarkEnd w:id="693"/>
      <w:r>
        <w:t xml:space="preserve">Xu, F., &amp; Arriaga, R. I. (2007). Number discrimination in 10-month-old infants. </w:t>
      </w:r>
      <w:r>
        <w:rPr>
          <w:i/>
          <w:iCs/>
        </w:rPr>
        <w:t>British Journal of Developmental Psychology</w:t>
      </w:r>
      <w:r>
        <w:t xml:space="preserve">, </w:t>
      </w:r>
      <w:r>
        <w:rPr>
          <w:i/>
          <w:iCs/>
        </w:rPr>
        <w:t>25</w:t>
      </w:r>
      <w:r>
        <w:t>(1), 103–108.</w:t>
      </w:r>
    </w:p>
    <w:p w14:paraId="00B24B4D" w14:textId="77777777" w:rsidR="005D4CD1" w:rsidRDefault="00000000">
      <w:pPr>
        <w:pStyle w:val="Literaturverzeichnis"/>
      </w:pPr>
      <w:bookmarkStart w:id="695" w:name="ref-ZAMBRZYCKA2017144"/>
      <w:bookmarkEnd w:id="694"/>
      <w:proofErr w:type="spellStart"/>
      <w:r>
        <w:t>Zambrzycka</w:t>
      </w:r>
      <w:proofErr w:type="spellEnd"/>
      <w:r>
        <w:t xml:space="preserve">, J., </w:t>
      </w:r>
      <w:proofErr w:type="spellStart"/>
      <w:r>
        <w:t>Kotsopoulos</w:t>
      </w:r>
      <w:proofErr w:type="spellEnd"/>
      <w:r>
        <w:t xml:space="preserve">, D., Lee, J., &amp; Makosz, S. (2017). In any way, shape, or form? Toddlers’ understanding of shapes. </w:t>
      </w:r>
      <w:r>
        <w:rPr>
          <w:i/>
          <w:iCs/>
        </w:rPr>
        <w:t>Infant Behavior and Development</w:t>
      </w:r>
      <w:r>
        <w:t xml:space="preserve">, </w:t>
      </w:r>
      <w:r>
        <w:rPr>
          <w:i/>
          <w:iCs/>
        </w:rPr>
        <w:t>46</w:t>
      </w:r>
      <w:r>
        <w:t>, 144–157. https://doi.org/</w:t>
      </w:r>
      <w:hyperlink r:id="rId24">
        <w:r>
          <w:rPr>
            <w:rStyle w:val="Hyperlink"/>
          </w:rPr>
          <w:t>https://doi.org/10.1016/j.infbeh.2016.12.002</w:t>
        </w:r>
      </w:hyperlink>
    </w:p>
    <w:p w14:paraId="52FF8630" w14:textId="77777777" w:rsidR="005D4CD1" w:rsidRDefault="00000000">
      <w:pPr>
        <w:pStyle w:val="Literaturverzeichnis"/>
      </w:pPr>
      <w:bookmarkStart w:id="696" w:name="ref-yinyuan2022a"/>
      <w:bookmarkEnd w:id="695"/>
      <w:r w:rsidRPr="004F5719">
        <w:rPr>
          <w:lang w:val="de-DE"/>
        </w:rPr>
        <w:t xml:space="preserve">Zheng, Y., </w:t>
      </w:r>
      <w:proofErr w:type="spellStart"/>
      <w:r w:rsidRPr="004F5719">
        <w:rPr>
          <w:lang w:val="de-DE"/>
        </w:rPr>
        <w:t>Matlen</w:t>
      </w:r>
      <w:proofErr w:type="spellEnd"/>
      <w:r w:rsidRPr="004F5719">
        <w:rPr>
          <w:lang w:val="de-DE"/>
        </w:rPr>
        <w:t xml:space="preserve">, B. J., &amp; Gentner, D. (2022). </w:t>
      </w:r>
      <w:r>
        <w:t xml:space="preserve">Spatial alignment facilitates visual comparison in children. </w:t>
      </w:r>
      <w:r>
        <w:rPr>
          <w:i/>
          <w:iCs/>
        </w:rPr>
        <w:t>Annual Meeting of the Cognitive Science Society</w:t>
      </w:r>
      <w:r>
        <w:t>.</w:t>
      </w:r>
      <w:bookmarkEnd w:id="508"/>
      <w:bookmarkEnd w:id="511"/>
      <w:bookmarkEnd w:id="696"/>
    </w:p>
    <w:sectPr w:rsidR="005D4CD1" w:rsidSect="00084144">
      <w:headerReference w:type="even" r:id="rId25"/>
      <w:headerReference w:type="default" r:id="rId26"/>
      <w:headerReference w:type="first" r:id="rId27"/>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7378C" w14:textId="77777777" w:rsidR="0096583B" w:rsidRDefault="0096583B">
      <w:pPr>
        <w:spacing w:before="0" w:after="0" w:line="240" w:lineRule="auto"/>
      </w:pPr>
      <w:r>
        <w:separator/>
      </w:r>
    </w:p>
  </w:endnote>
  <w:endnote w:type="continuationSeparator" w:id="0">
    <w:p w14:paraId="7D2E69F9" w14:textId="77777777" w:rsidR="0096583B" w:rsidRDefault="009658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4522E" w14:textId="77777777" w:rsidR="0096583B" w:rsidRDefault="0096583B">
      <w:pPr>
        <w:spacing w:before="0" w:after="0" w:line="240" w:lineRule="auto"/>
      </w:pPr>
      <w:r>
        <w:separator/>
      </w:r>
    </w:p>
  </w:footnote>
  <w:footnote w:type="continuationSeparator" w:id="0">
    <w:p w14:paraId="1AFEFC77" w14:textId="77777777" w:rsidR="0096583B" w:rsidRDefault="009658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4EDB0459"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342A91E"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1F573C35"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70AD7DEA" w14:textId="77777777" w:rsidR="00000000"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6D29EB9A"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7C406AAD" w14:textId="77777777" w:rsidR="00000000"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06424235">
    <w:abstractNumId w:val="13"/>
  </w:num>
  <w:num w:numId="2" w16cid:durableId="1466774582">
    <w:abstractNumId w:val="13"/>
  </w:num>
  <w:num w:numId="3" w16cid:durableId="1671134063">
    <w:abstractNumId w:val="14"/>
  </w:num>
  <w:num w:numId="4" w16cid:durableId="628442376">
    <w:abstractNumId w:val="1"/>
  </w:num>
  <w:num w:numId="5" w16cid:durableId="2001502122">
    <w:abstractNumId w:val="2"/>
  </w:num>
  <w:num w:numId="6" w16cid:durableId="175773304">
    <w:abstractNumId w:val="3"/>
  </w:num>
  <w:num w:numId="7" w16cid:durableId="1134786058">
    <w:abstractNumId w:val="4"/>
  </w:num>
  <w:num w:numId="8" w16cid:durableId="474873987">
    <w:abstractNumId w:val="9"/>
  </w:num>
  <w:num w:numId="9" w16cid:durableId="613101315">
    <w:abstractNumId w:val="5"/>
  </w:num>
  <w:num w:numId="10" w16cid:durableId="106780883">
    <w:abstractNumId w:val="6"/>
  </w:num>
  <w:num w:numId="11" w16cid:durableId="1757751946">
    <w:abstractNumId w:val="7"/>
  </w:num>
  <w:num w:numId="12" w16cid:durableId="62415844">
    <w:abstractNumId w:val="8"/>
  </w:num>
  <w:num w:numId="13" w16cid:durableId="1245993423">
    <w:abstractNumId w:val="10"/>
  </w:num>
  <w:num w:numId="14" w16cid:durableId="1128738607">
    <w:abstractNumId w:val="14"/>
  </w:num>
  <w:num w:numId="15" w16cid:durableId="1437946547">
    <w:abstractNumId w:val="0"/>
  </w:num>
  <w:num w:numId="16" w16cid:durableId="288827749">
    <w:abstractNumId w:val="0"/>
  </w:num>
  <w:num w:numId="17" w16cid:durableId="209461272">
    <w:abstractNumId w:val="11"/>
  </w:num>
  <w:num w:numId="18" w16cid:durableId="146478275">
    <w:abstractNumId w:val="12"/>
  </w:num>
  <w:num w:numId="19" w16cid:durableId="338778757">
    <w:abstractNumId w:val="11"/>
  </w:num>
  <w:num w:numId="20" w16cid:durableId="1752772610">
    <w:abstractNumId w:val="12"/>
  </w:num>
  <w:num w:numId="21" w16cid:durableId="1410805893">
    <w:abstractNumId w:val="11"/>
  </w:num>
  <w:num w:numId="22" w16cid:durableId="1008824074">
    <w:abstractNumId w:val="12"/>
  </w:num>
  <w:num w:numId="23" w16cid:durableId="13261267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0C5C1D"/>
    <w:rsid w:val="00161E7C"/>
    <w:rsid w:val="00167B4A"/>
    <w:rsid w:val="002206B7"/>
    <w:rsid w:val="00313569"/>
    <w:rsid w:val="00352BA1"/>
    <w:rsid w:val="003756FC"/>
    <w:rsid w:val="003D44B0"/>
    <w:rsid w:val="00405034"/>
    <w:rsid w:val="00435F1A"/>
    <w:rsid w:val="004418C3"/>
    <w:rsid w:val="00472128"/>
    <w:rsid w:val="004F5719"/>
    <w:rsid w:val="00503F59"/>
    <w:rsid w:val="00506818"/>
    <w:rsid w:val="005A55BB"/>
    <w:rsid w:val="005D4CD1"/>
    <w:rsid w:val="006373B0"/>
    <w:rsid w:val="00671125"/>
    <w:rsid w:val="00693388"/>
    <w:rsid w:val="006B7407"/>
    <w:rsid w:val="006C615E"/>
    <w:rsid w:val="006E6812"/>
    <w:rsid w:val="00871062"/>
    <w:rsid w:val="0096583B"/>
    <w:rsid w:val="009E05DE"/>
    <w:rsid w:val="00A511C4"/>
    <w:rsid w:val="00AE3AC5"/>
    <w:rsid w:val="00AF3262"/>
    <w:rsid w:val="00BF4B6B"/>
    <w:rsid w:val="00C90733"/>
    <w:rsid w:val="00CF1051"/>
    <w:rsid w:val="00E634E8"/>
    <w:rsid w:val="00E753DB"/>
    <w:rsid w:val="00EB1F7E"/>
    <w:rsid w:val="00F67D04"/>
    <w:rsid w:val="00FD6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69479"/>
  <w15:docId w15:val="{CC942753-3410-4162-BD87-A0824CCC7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redicted.org/SJT_H7F" TargetMode="External"/><Relationship Id="rId13" Type="http://schemas.openxmlformats.org/officeDocument/2006/relationships/image" Target="media/image1.png"/><Relationship Id="rId18" Type="http://schemas.openxmlformats.org/officeDocument/2006/relationships/hyperlink" Target="https://doi.org/10.1080/15248370701836592"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mc-stan.org/" TargetMode="External"/><Relationship Id="rId7" Type="http://schemas.openxmlformats.org/officeDocument/2006/relationships/hyperlink" Target="https://aspredicted.org/SJT_H7F" TargetMode="External"/><Relationship Id="rId12" Type="http://schemas.openxmlformats.org/officeDocument/2006/relationships/hyperlink" Target="https://aspredicted.org/DR4_B4B" TargetMode="External"/><Relationship Id="rId17" Type="http://schemas.openxmlformats.org/officeDocument/2006/relationships/hyperlink" Target="https://doi.org/10.1002/9781118963418.childpsy207"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books.google.de/books?id=BXrHqqUYu0QC"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spredicted.org/DR4_B4B" TargetMode="External"/><Relationship Id="rId24" Type="http://schemas.openxmlformats.org/officeDocument/2006/relationships/hyperlink" Target="https://doi.org/10.1016/j.infbeh.2016.12.002"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093/oxfordhb/9780192849489.013.0012" TargetMode="External"/><Relationship Id="rId28" Type="http://schemas.openxmlformats.org/officeDocument/2006/relationships/fontTable" Target="fontTable.xml"/><Relationship Id="rId10" Type="http://schemas.openxmlformats.org/officeDocument/2006/relationships/hyperlink" Target="https://aspredicted.org/L2H_XC7" TargetMode="External"/><Relationship Id="rId19" Type="http://schemas.openxmlformats.org/officeDocument/2006/relationships/hyperlink" Target="https://doi.org/10.1111/j.1467-7687.2009.00862.x" TargetMode="External"/><Relationship Id="rId4" Type="http://schemas.openxmlformats.org/officeDocument/2006/relationships/webSettings" Target="webSettings.xml"/><Relationship Id="rId9" Type="http://schemas.openxmlformats.org/officeDocument/2006/relationships/hyperlink" Target="https://aspredicted.org/L2H_XC7" TargetMode="External"/><Relationship Id="rId14" Type="http://schemas.openxmlformats.org/officeDocument/2006/relationships/image" Target="media/image2.png"/><Relationship Id="rId22" Type="http://schemas.openxmlformats.org/officeDocument/2006/relationships/hyperlink" Target="https://doi.org/10.1111/j.1467-8624.2007.01025.x" TargetMode="External"/><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14470</Words>
  <Characters>91161</Characters>
  <Application>Microsoft Office Word</Application>
  <DocSecurity>0</DocSecurity>
  <Lines>759</Lines>
  <Paragraphs>210</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105421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cp:lastModifiedBy>Gregor Kachel</cp:lastModifiedBy>
  <cp:revision>1</cp:revision>
  <dcterms:created xsi:type="dcterms:W3CDTF">2026-04-24T09:40:00Z</dcterms:created>
  <dcterms:modified xsi:type="dcterms:W3CDTF">2026-04-24T09:55:00Z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C:\Users\Kachel.IPE-KACHEL-N\AppData\Local\R\win-library\4.5\papaja\rmd\apa6.csl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True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