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media/rId48.png" ContentType="image/png"/>
  <Override PartName="/word/media/rId23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el"/>
      </w:pPr>
      <w:r>
        <w:t xml:space="preserve">SUPPLEMENTARY MATERIAL for DOIXXXXXXXXXX Young Children’s Spontaneous Comprehension of Symbol-Referent Relationships in the Graphic Domain</w:t>
      </w:r>
    </w:p>
    <w:p>
      <w:pPr>
        <w:pStyle w:val="h1-pagebreak"/>
      </w:pPr>
      <w:r>
        <w:t xml:space="preserve">SUPPLEMENTARY MATERIAL for DOIXXXXXXXXXX Young Children’s Spontaneous Comprehension of Symbol-Referent Relationships in the Graphic Domain</w:t>
      </w:r>
    </w:p>
    <w:bookmarkStart w:id="27" w:name="Xe43dc771d142a775e1cdfd3ad1cd49755a53b53"/>
    <w:p>
      <w:pPr>
        <w:pStyle w:val="berschrift1"/>
      </w:pPr>
      <w:r>
        <w:t xml:space="preserve">Graphic Overview of Participants and Exclusions</w:t>
      </w:r>
    </w:p>
    <w:p>
      <w:pPr>
        <w:pStyle w:val="CaptionedFigure"/>
      </w:pPr>
      <w:r>
        <w:drawing>
          <wp:inline>
            <wp:extent cx="4775200" cy="1954342"/>
            <wp:effectExtent b="0" l="0" r="0" t="0"/>
            <wp:docPr descr="Figure 1: Distribution of Participants across the age-range in all three studies. Dots represent individuals. Colors indicate their respective sex." title="" id="20" name="Picture"/>
            <a:graphic>
              <a:graphicData uri="http://schemas.openxmlformats.org/drawingml/2006/picture">
                <pic:pic>
                  <pic:nvPicPr>
                    <pic:cNvPr descr="symlit_rep_supplement_revision_2_files/d11afc309c1d546a19412ec63df77a3b49930bce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5200" cy="19543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bookmarkStart w:id="22" w:name="fig:suppl-participants-dots"/>
      <w:bookmarkEnd w:id="22"/>
      <w:r>
        <w:rPr>
          <w:i/>
          <w:iCs/>
        </w:rPr>
        <w:t xml:space="preserve">Figure</w:t>
      </w:r>
      <w:r>
        <w:t xml:space="preserve"> </w:t>
      </w:r>
      <w:r>
        <w:t xml:space="preserve">1. Distribution of Participants across the age-range in all three studies. Dots represent individuals. Colors indicate their respective sex.</w:t>
      </w:r>
    </w:p>
    <w:p>
      <w:pPr>
        <w:pStyle w:val="CaptionedFigure"/>
      </w:pPr>
      <w:r>
        <w:drawing>
          <wp:inline>
            <wp:extent cx="4178300" cy="2438725"/>
            <wp:effectExtent b="0" l="0" r="0" t="0"/>
            <wp:docPr descr="Figure 2: Distribution of Exclusions across the age-range in all three studies. Dots represent individuals. Colors indicate why children where not submitted to analyses." title="" id="24" name="Picture"/>
            <a:graphic>
              <a:graphicData uri="http://schemas.openxmlformats.org/drawingml/2006/picture">
                <pic:pic>
                  <pic:nvPicPr>
                    <pic:cNvPr descr="symlit_rep_supplement_revision_2_files/c74b19a8c2f8b276731acf665642e497645db703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8300" cy="24387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bookmarkStart w:id="26" w:name="fig:suppl-exclusions-dots"/>
      <w:bookmarkEnd w:id="26"/>
      <w:r>
        <w:rPr>
          <w:i/>
          <w:iCs/>
        </w:rPr>
        <w:t xml:space="preserve">Figure</w:t>
      </w:r>
      <w:r>
        <w:t xml:space="preserve"> </w:t>
      </w:r>
      <w:r>
        <w:t xml:space="preserve">2. Distribution of Exclusions across the age-range in all three studies. Dots represent individuals. Colors indicate why children where not submitted to analyses.</w:t>
      </w:r>
    </w:p>
    <w:bookmarkEnd w:id="27"/>
    <w:bookmarkStart w:id="31" w:name="model-diagnostics-and-comparisons"/>
    <w:p>
      <w:pPr>
        <w:pStyle w:val="berschrift1"/>
      </w:pPr>
      <w:r>
        <w:t xml:space="preserve">Model Diagnostics and Comparisons</w:t>
      </w:r>
    </w:p>
    <w:bookmarkStart w:id="28" w:name="study-1"/>
    <w:p>
      <w:pPr>
        <w:pStyle w:val="berschrift2"/>
      </w:pPr>
      <w:r>
        <w:t xml:space="preserve">Study 1</w:t>
      </w:r>
    </w:p>
    <w:p>
      <w:pPr>
        <w:pStyle w:val="FirstParagraph"/>
      </w:pPr>
      <w:r>
        <w:t xml:space="preserve">Posterior predictive checks (PPC) for both full and null model indicated</w:t>
      </w:r>
      <w:r>
        <w:t xml:space="preserve"> </w:t>
      </w:r>
      <w:r>
        <w:t xml:space="preserve">excellent fit of observed data and model predictions. Rhat values in</w:t>
      </w:r>
      <w:r>
        <w:t xml:space="preserve"> </w:t>
      </w:r>
      <w:r>
        <w:t xml:space="preserve">both models were equal to one, indicating convergence across all chains.</w:t>
      </w:r>
      <w:r>
        <w:t xml:space="preserve"> </w:t>
      </w:r>
      <w:r>
        <w:t xml:space="preserve">Effective sample sizes for all fixed effects in the full model (Bulk</w:t>
      </w:r>
      <w:r>
        <w:t xml:space="preserve"> </w:t>
      </w:r>
      <w:r>
        <w:t xml:space="preserve">ESS, mean = 6222, range</w:t>
      </w:r>
      <w:r>
        <w:t xml:space="preserve"> </w:t>
      </w:r>
      <w:r>
        <w:t xml:space="preserve">4323 -</w:t>
      </w:r>
      <w:r>
        <w:t xml:space="preserve"> </w:t>
      </w:r>
      <w:r>
        <w:t xml:space="preserve">10098) and the null model (Bulk ESS,</w:t>
      </w:r>
      <w:r>
        <w:t xml:space="preserve"> </w:t>
      </w:r>
      <w:r>
        <w:t xml:space="preserve">mean = 5777, range</w:t>
      </w:r>
      <w:r>
        <w:t xml:space="preserve"> </w:t>
      </w:r>
      <w:r>
        <w:t xml:space="preserve">4351 -</w:t>
      </w:r>
      <w:r>
        <w:t xml:space="preserve"> </w:t>
      </w:r>
      <w:r>
        <w:t xml:space="preserve">8307) were &gt; 1000, indicating</w:t>
      </w:r>
      <w:r>
        <w:t xml:space="preserve"> </w:t>
      </w:r>
      <w:r>
        <w:t xml:space="preserve">reliable posterior estimations.</w:t>
      </w:r>
    </w:p>
    <w:p>
      <w:pPr>
        <w:pStyle w:val="Textkrper"/>
      </w:pPr>
      <w:r>
        <w:t xml:space="preserve">Comparing the models using weights based on the Widely Applicable</w:t>
      </w:r>
      <w:r>
        <w:t xml:space="preserve"> </w:t>
      </w:r>
      <w:r>
        <w:t xml:space="preserve">Information Criterion (WAIC) yielded</w:t>
      </w:r>
      <w:r>
        <w:t xml:space="preserve"> </w:t>
      </w:r>
      <w:r>
        <w:t xml:space="preserve">74.52% of the model weight</w:t>
      </w:r>
      <w:r>
        <w:t xml:space="preserve"> </w:t>
      </w:r>
      <w:r>
        <w:t xml:space="preserve">for the full model, and</w:t>
      </w:r>
      <w:r>
        <w:t xml:space="preserve"> </w:t>
      </w:r>
      <w:r>
        <w:t xml:space="preserve">25.48% for the null model.</w:t>
      </w:r>
      <w:r>
        <w:t xml:space="preserve"> </w:t>
      </w:r>
      <w:r>
        <w:t xml:space="preserve">Hence, the full model generally had a higher probability of making</w:t>
      </w:r>
      <w:r>
        <w:t xml:space="preserve"> </w:t>
      </w:r>
      <w:r>
        <w:t xml:space="preserve">accurate predictions. Directly comparing the models’ WAIC via expected</w:t>
      </w:r>
      <w:r>
        <w:t xml:space="preserve"> </w:t>
      </w:r>
      <w:r>
        <w:t xml:space="preserve">log predictive density (ELPD) corroborates this (ELPD WAIC; full model =</w:t>
      </w:r>
      <w:r>
        <w:t xml:space="preserve"> </w:t>
      </w:r>
      <w:r>
        <w:t xml:space="preserve">-901.11; null model =</w:t>
      </w:r>
      <w:r>
        <w:t xml:space="preserve"> </w:t>
      </w:r>
      <w:r>
        <w:t xml:space="preserve">-903.53). The standard error of</w:t>
      </w:r>
      <w:r>
        <w:t xml:space="preserve"> </w:t>
      </w:r>
      <w:r>
        <w:t xml:space="preserve">the difference in predictive accuracy (SE =</w:t>
      </w:r>
      <w:r>
        <w:t xml:space="preserve"> </w:t>
      </w:r>
      <w:r>
        <w:t xml:space="preserve">3.14) is not much larger than</w:t>
      </w:r>
      <w:r>
        <w:t xml:space="preserve"> </w:t>
      </w:r>
      <w:r>
        <w:t xml:space="preserve">the difference itself (ELPD diff =</w:t>
      </w:r>
      <w:r>
        <w:t xml:space="preserve"> </w:t>
      </w:r>
      <w:r>
        <w:t xml:space="preserve">-2.42). Hence, evidence in</w:t>
      </w:r>
      <w:r>
        <w:t xml:space="preserve"> </w:t>
      </w:r>
      <w:r>
        <w:t xml:space="preserve">favor of this model is not decisive. A similar comparison via</w:t>
      </w:r>
      <w:r>
        <w:t xml:space="preserve"> </w:t>
      </w:r>
      <w:r>
        <w:t xml:space="preserve">Leave-One-Out Cross-Validation (LOO) provided essentially the same</w:t>
      </w:r>
      <w:r>
        <w:t xml:space="preserve"> </w:t>
      </w:r>
      <w:r>
        <w:t xml:space="preserve">results. In absence of conclusive evidence for either model, we report</w:t>
      </w:r>
      <w:r>
        <w:t xml:space="preserve"> </w:t>
      </w:r>
      <w:r>
        <w:t xml:space="preserve">the results for the full model in line with the preregistration.</w:t>
      </w:r>
    </w:p>
    <w:bookmarkEnd w:id="28"/>
    <w:bookmarkStart w:id="29" w:name="study-2"/>
    <w:p>
      <w:pPr>
        <w:pStyle w:val="berschrift2"/>
      </w:pPr>
      <w:r>
        <w:t xml:space="preserve">Study 2</w:t>
      </w:r>
    </w:p>
    <w:p>
      <w:pPr>
        <w:pStyle w:val="FirstParagraph"/>
      </w:pPr>
      <w:r>
        <w:t xml:space="preserve">For both full and null model, PPCs indicate excellent fit of observed</w:t>
      </w:r>
      <w:r>
        <w:t xml:space="preserve"> </w:t>
      </w:r>
      <w:r>
        <w:t xml:space="preserve">data and model predictions. Rhat values in both models were equal to</w:t>
      </w:r>
      <w:r>
        <w:t xml:space="preserve"> </w:t>
      </w:r>
      <w:r>
        <w:t xml:space="preserve">one, indicating convergence across all chains. Effective sample sizes</w:t>
      </w:r>
      <w:r>
        <w:t xml:space="preserve"> </w:t>
      </w:r>
      <w:r>
        <w:t xml:space="preserve">for all fixed effects in the full model (Bulk ESS, mean =</w:t>
      </w:r>
      <w:r>
        <w:t xml:space="preserve"> </w:t>
      </w:r>
      <w:r>
        <w:t xml:space="preserve">6149, range</w:t>
      </w:r>
      <w:r>
        <w:t xml:space="preserve"> </w:t>
      </w:r>
      <w:r>
        <w:t xml:space="preserve">3485 -</w:t>
      </w:r>
      <w:r>
        <w:t xml:space="preserve"> </w:t>
      </w:r>
      <w:r>
        <w:t xml:space="preserve">7545) and the null model (Bulk ESS,</w:t>
      </w:r>
      <w:r>
        <w:t xml:space="preserve"> </w:t>
      </w:r>
      <w:r>
        <w:t xml:space="preserve">mean = 6877, range</w:t>
      </w:r>
      <w:r>
        <w:t xml:space="preserve"> </w:t>
      </w:r>
      <w:r>
        <w:t xml:space="preserve">3839 -</w:t>
      </w:r>
      <w:r>
        <w:t xml:space="preserve"> </w:t>
      </w:r>
      <w:r>
        <w:t xml:space="preserve">10040) were &gt; 1000, indicating</w:t>
      </w:r>
      <w:r>
        <w:t xml:space="preserve"> </w:t>
      </w:r>
      <w:r>
        <w:t xml:space="preserve">reliable posterior estimations.</w:t>
      </w:r>
    </w:p>
    <w:p>
      <w:pPr>
        <w:pStyle w:val="Textkrper"/>
      </w:pPr>
      <w:r>
        <w:t xml:space="preserve">To compare model performance, we evaluated the WAIC estimates. The null</w:t>
      </w:r>
      <w:r>
        <w:t xml:space="preserve"> </w:t>
      </w:r>
      <w:r>
        <w:t xml:space="preserve">model showed a slightly better predictive performance (ELPD =</w:t>
      </w:r>
      <w:r>
        <w:t xml:space="preserve"> </w:t>
      </w:r>
      <w:r>
        <w:t xml:space="preserve">-888.15) compared to the full</w:t>
      </w:r>
      <w:r>
        <w:t xml:space="preserve"> </w:t>
      </w:r>
      <w:r>
        <w:t xml:space="preserve">model (ELPD = -889.99). WAIC</w:t>
      </w:r>
      <w:r>
        <w:t xml:space="preserve"> </w:t>
      </w:r>
      <w:r>
        <w:t xml:space="preserve">values also indicate better performance of the null model (WAIC =</w:t>
      </w:r>
      <w:r>
        <w:t xml:space="preserve"> </w:t>
      </w:r>
      <w:r>
        <w:t xml:space="preserve">1,776.30) over the full model (WAIC =</w:t>
      </w:r>
      <w:r>
        <w:t xml:space="preserve"> </w:t>
      </w:r>
      <w:r>
        <w:t xml:space="preserve">1,779.99). However, the difference</w:t>
      </w:r>
      <w:r>
        <w:t xml:space="preserve"> </w:t>
      </w:r>
      <w:r>
        <w:t xml:space="preserve">between models (ELPD Diff =</w:t>
      </w:r>
      <w:r>
        <w:t xml:space="preserve"> </w:t>
      </w:r>
      <w:r>
        <w:t xml:space="preserve">-1.84) falls within the bounds</w:t>
      </w:r>
      <w:r>
        <w:t xml:space="preserve"> </w:t>
      </w:r>
      <w:r>
        <w:t xml:space="preserve">of uncertainty (SE = 1.76),</w:t>
      </w:r>
      <w:r>
        <w:t xml:space="preserve"> </w:t>
      </w:r>
      <w:r>
        <w:t xml:space="preserve">suggesting no advantage in predictive accuracy. Hence, the preregistered</w:t>
      </w:r>
      <w:r>
        <w:t xml:space="preserve"> </w:t>
      </w:r>
      <w:r>
        <w:t xml:space="preserve">analyses using the full model is reported below.</w:t>
      </w:r>
    </w:p>
    <w:bookmarkEnd w:id="29"/>
    <w:bookmarkStart w:id="30" w:name="study-3"/>
    <w:p>
      <w:pPr>
        <w:pStyle w:val="berschrift2"/>
      </w:pPr>
      <w:r>
        <w:t xml:space="preserve">Study 3</w:t>
      </w:r>
    </w:p>
    <w:p>
      <w:pPr>
        <w:pStyle w:val="FirstParagraph"/>
      </w:pPr>
      <w:r>
        <w:t xml:space="preserve">PPCs indicated excellent fit of observed data and model predictions in</w:t>
      </w:r>
      <w:r>
        <w:t xml:space="preserve"> </w:t>
      </w:r>
      <w:r>
        <w:t xml:space="preserve">both models. Model diagnostics were drawn for the full and null model in</w:t>
      </w:r>
      <w:r>
        <w:t xml:space="preserve"> </w:t>
      </w:r>
      <w:r>
        <w:t xml:space="preserve">study 3. Rhat values in both models were equal to one, indicating</w:t>
      </w:r>
      <w:r>
        <w:t xml:space="preserve"> </w:t>
      </w:r>
      <w:r>
        <w:t xml:space="preserve">convergence across all chains. Effective sample sizes for all fixed</w:t>
      </w:r>
      <w:r>
        <w:t xml:space="preserve"> </w:t>
      </w:r>
      <w:r>
        <w:t xml:space="preserve">effects in the full model (Bulk ESS, mean =</w:t>
      </w:r>
      <w:r>
        <w:t xml:space="preserve"> </w:t>
      </w:r>
      <w:r>
        <w:t xml:space="preserve">6552, range</w:t>
      </w:r>
      <w:r>
        <w:t xml:space="preserve"> </w:t>
      </w:r>
      <w:r>
        <w:t xml:space="preserve">4556 -</w:t>
      </w:r>
      <w:r>
        <w:t xml:space="preserve"> </w:t>
      </w:r>
      <w:r>
        <w:t xml:space="preserve">8586) and the null model (Bulk ESS,</w:t>
      </w:r>
      <w:r>
        <w:t xml:space="preserve"> </w:t>
      </w:r>
      <w:r>
        <w:t xml:space="preserve">mean = 7253, range</w:t>
      </w:r>
      <w:r>
        <w:t xml:space="preserve"> </w:t>
      </w:r>
      <w:r>
        <w:t xml:space="preserve">5531 -</w:t>
      </w:r>
      <w:r>
        <w:t xml:space="preserve"> </w:t>
      </w:r>
      <w:r>
        <w:t xml:space="preserve">8885) were &gt; 1000, indicating</w:t>
      </w:r>
      <w:r>
        <w:t xml:space="preserve"> </w:t>
      </w:r>
      <w:r>
        <w:t xml:space="preserve">reliable posterior estimations.</w:t>
      </w:r>
    </w:p>
    <w:p>
      <w:pPr>
        <w:pStyle w:val="Textkrper"/>
      </w:pPr>
      <w:r>
        <w:t xml:space="preserve">When comparing performance, the full model showed a better fit (ELPD =</w:t>
      </w:r>
      <w:r>
        <w:t xml:space="preserve"> </w:t>
      </w:r>
      <w:r>
        <w:t xml:space="preserve">-941.75) relative to the null</w:t>
      </w:r>
      <w:r>
        <w:t xml:space="preserve"> </w:t>
      </w:r>
      <w:r>
        <w:t xml:space="preserve">model (ELPD = -945.94). The WAIC</w:t>
      </w:r>
      <w:r>
        <w:t xml:space="preserve"> </w:t>
      </w:r>
      <w:r>
        <w:t xml:space="preserve">values also favored the full model (WAIC =</w:t>
      </w:r>
      <w:r>
        <w:t xml:space="preserve"> </w:t>
      </w:r>
      <w:r>
        <w:t xml:space="preserve">1,883.49) over the null model (WAIC =</w:t>
      </w:r>
      <w:r>
        <w:t xml:space="preserve"> </w:t>
      </w:r>
      <w:r>
        <w:t xml:space="preserve">1,891.88). Despite the slightly lower</w:t>
      </w:r>
      <w:r>
        <w:t xml:space="preserve"> </w:t>
      </w:r>
      <w:r>
        <w:t xml:space="preserve">WAIC and higher ELPD of the full model, the difference in predictive</w:t>
      </w:r>
      <w:r>
        <w:t xml:space="preserve"> </w:t>
      </w:r>
      <w:r>
        <w:t xml:space="preserve">accuracy (ELPD Diff = -4.19)</w:t>
      </w:r>
      <w:r>
        <w:t xml:space="preserve"> </w:t>
      </w:r>
      <w:r>
        <w:t xml:space="preserve">remains almost within the range of sampling uncertainty (SE =</w:t>
      </w:r>
      <w:r>
        <w:t xml:space="preserve"> </w:t>
      </w:r>
      <w:r>
        <w:t xml:space="preserve">3.97). In the absence of</w:t>
      </w:r>
      <w:r>
        <w:t xml:space="preserve"> </w:t>
      </w:r>
      <w:r>
        <w:t xml:space="preserve">substantial differences, the full model is reported below in line with</w:t>
      </w:r>
      <w:r>
        <w:t xml:space="preserve"> </w:t>
      </w:r>
      <w:r>
        <w:t xml:space="preserve">the preregistration.</w:t>
      </w:r>
    </w:p>
    <w:bookmarkEnd w:id="30"/>
    <w:bookmarkEnd w:id="31"/>
    <w:bookmarkStart w:id="41" w:name="X0be0375596eeb5fabb63d5f994e45eba16e49be"/>
    <w:p>
      <w:pPr>
        <w:pStyle w:val="berschrift1"/>
      </w:pPr>
      <w:r>
        <w:t xml:space="preserve">Posterior Estimates, Descriptives and Conventional Analyses</w:t>
      </w:r>
    </w:p>
    <w:bookmarkStart w:id="34" w:name="study-1-1"/>
    <w:p>
      <w:pPr>
        <w:pStyle w:val="berschrift2"/>
      </w:pPr>
      <w:r>
        <w:t xml:space="preserve">Study 1</w:t>
      </w:r>
    </w:p>
    <w:p>
      <w:pPr>
        <w:pStyle w:val="TableCaption"/>
      </w:pPr>
      <w:bookmarkStart w:id="32" w:name="tab:suppl-S1-coef-table"/>
      <w:bookmarkEnd w:id="32"/>
      <w:r>
        <w:t xml:space="preserve">Table 1:</w:t>
      </w:r>
      <w:r>
        <w:t xml:space="preserve"> </w:t>
      </w:r>
      <w:r>
        <w:t xml:space="preserve">Study 1 - Posterior Estimates for the Full Model.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743" w:hRule="auto"/>
          <w:tblHeader/>
        </w:trPr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Predictor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MAD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95% CrI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Bulk ESS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Tail ESS</w:t>
            </w:r>
          </w:p>
        </w:tc>
      </w:tr>
      <w:tr>
        <w:trPr>
          <w:trHeight w:val="728" w:hRule="auto"/>
        </w:trPr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Intercept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2.03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[1.64, 2.43]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5,184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6,617</w:t>
            </w:r>
          </w:p>
        </w:tc>
      </w:tr>
      <w:tr>
        <w:trPr>
          <w:trHeight w:val="72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Pars Pro Toto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[-0.54, 0.28]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7,491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7,577</w:t>
            </w:r>
          </w:p>
        </w:tc>
      </w:tr>
      <w:tr>
        <w:trPr>
          <w:trHeight w:val="72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Simple Form Analogy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[-1.75, -1.03]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6,933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7,821</w:t>
            </w:r>
          </w:p>
        </w:tc>
      </w:tr>
      <w:tr>
        <w:trPr>
          <w:trHeight w:val="72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Complex Form Analogy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[-1.73, -1.00]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6,810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6,666</w:t>
            </w:r>
          </w:p>
        </w:tc>
      </w:tr>
      <w:tr>
        <w:trPr>
          <w:trHeight w:val="72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Age*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[0.13, 0.72]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4,323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5,827</w:t>
            </w:r>
          </w:p>
        </w:tc>
      </w:tr>
      <w:tr>
        <w:trPr>
          <w:trHeight w:val="72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Trial*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[-0.15, 0.12]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10,098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7,496</w:t>
            </w:r>
          </w:p>
        </w:tc>
      </w:tr>
      <w:tr>
        <w:trPr>
          <w:trHeight w:val="72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Sex (Male)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[-0.70, 0.10]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4,512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6,169</w:t>
            </w:r>
          </w:p>
        </w:tc>
      </w:tr>
      <w:tr>
        <w:trPr>
          <w:trHeight w:val="72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Pars Pro Toto × Age*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[-0.05, 0.67]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5,856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7,147</w:t>
            </w:r>
          </w:p>
        </w:tc>
      </w:tr>
      <w:tr>
        <w:trPr>
          <w:trHeight w:val="72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Simple Form Analogy × Age*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[-0.52, 0.13]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5,344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6,849</w:t>
            </w:r>
          </w:p>
        </w:tc>
      </w:tr>
      <w:tr>
        <w:trPr>
          <w:trHeight w:val="736" w:hRule="auto"/>
        </w:trPr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Complex Form Analogy × Age*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-0.08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0.17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0.17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[-0.40, 0.25]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5,673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7,198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Note. Estimates represent posterior means with 95% equal-tailed credible intervals (CrIs). MAD indicates Median Absolute Deviation. ESS refers to effective sample size. R̂ values omitted as they are all ~1 indicating convergence.  * = variables were standardized.</w:t>
            </w:r>
          </w:p>
        </w:tc>
      </w:tr>
    </w:tbl>
    <w:p>
      <w:r>
        <w:br w:type="page"/>
      </w:r>
    </w:p>
    <w:p>
      <w:pPr>
        <w:pStyle w:val="TableCaption"/>
      </w:pPr>
      <w:bookmarkStart w:id="33" w:name="tab:suppl-descriptives-S1"/>
      <w:bookmarkEnd w:id="33"/>
      <w:r>
        <w:t xml:space="preserve">Table 2:</w:t>
      </w:r>
      <w:r>
        <w:t xml:space="preserve"> </w:t>
      </w:r>
      <w:r>
        <w:t xml:space="preserve">Study 1 - Descriptives and Conventional Analyses.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738" w:hRule="auto"/>
          <w:tblHeader/>
        </w:trPr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Condition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Age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Trials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Trials/N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df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t(N-1)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</w:t>
            </w:r>
          </w:p>
        </w:tc>
      </w:tr>
      <w:tr>
        <w:trPr>
          <w:trHeight w:val="723" w:hRule="auto"/>
        </w:trPr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Representation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3-year-olds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103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3.96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75.00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22.36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25.00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5.70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1.12</w:t>
            </w:r>
          </w:p>
        </w:tc>
      </w:tr>
      <w:tr>
        <w:trPr>
          <w:trHeight w:val="72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4-year-olds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0.94</w:t>
            </w:r>
          </w:p>
        </w:tc>
      </w:tr>
      <w:tr>
        <w:trPr>
          <w:trHeight w:val="72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5-year-olds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87.50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1.32</w:t>
            </w:r>
          </w:p>
        </w:tc>
      </w:tr>
      <w:tr>
        <w:trPr>
          <w:trHeight w:val="72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6-year-olds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87.50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1.80</w:t>
            </w:r>
          </w:p>
        </w:tc>
      </w:tr>
      <w:tr>
        <w:trPr>
          <w:trHeight w:val="72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Pars Pro Toto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3-year-olds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0.73</w:t>
            </w:r>
          </w:p>
        </w:tc>
      </w:tr>
      <w:tr>
        <w:trPr>
          <w:trHeight w:val="72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4-year-olds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0.78</w:t>
            </w:r>
          </w:p>
        </w:tc>
      </w:tr>
      <w:tr>
        <w:trPr>
          <w:trHeight w:val="72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5-year-olds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85.71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1.63</w:t>
            </w:r>
          </w:p>
        </w:tc>
      </w:tr>
      <w:tr>
        <w:trPr>
          <w:trHeight w:val="72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6-year-olds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2.62</w:t>
            </w:r>
          </w:p>
        </w:tc>
      </w:tr>
      <w:tr>
        <w:trPr>
          <w:trHeight w:val="72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Simple Form Analogy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3-year-olds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0.404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0.17</w:t>
            </w:r>
          </w:p>
        </w:tc>
      </w:tr>
      <w:tr>
        <w:trPr>
          <w:trHeight w:val="72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4-year-olds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0.35</w:t>
            </w:r>
          </w:p>
        </w:tc>
      </w:tr>
      <w:tr>
        <w:trPr>
          <w:trHeight w:val="72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5-year-olds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0.32</w:t>
            </w:r>
          </w:p>
        </w:tc>
      </w:tr>
      <w:tr>
        <w:trPr>
          <w:trHeight w:val="72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6-year-olds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0.85</w:t>
            </w:r>
          </w:p>
        </w:tc>
      </w:tr>
      <w:tr>
        <w:trPr>
          <w:trHeight w:val="72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Complex Form Analogy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3-year-olds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0.12</w:t>
            </w:r>
          </w:p>
        </w:tc>
      </w:tr>
      <w:tr>
        <w:trPr>
          <w:trHeight w:val="72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4-year-olds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0.326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0.19</w:t>
            </w:r>
          </w:p>
        </w:tc>
      </w:tr>
      <w:tr>
        <w:trPr>
          <w:trHeight w:val="72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5-year-olds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0.38</w:t>
            </w:r>
          </w:p>
        </w:tc>
      </w:tr>
      <w:tr>
        <w:trPr>
          <w:trHeight w:val="731" w:hRule="auto"/>
        </w:trPr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6-year-olds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96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4.00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76.04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18.77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23.00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6.80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1.39</w:t>
            </w:r>
          </w:p>
        </w:tc>
      </w:tr>
      <w:tr>
        <w:trPr>
          <w:trHeight w:val="360" w:hRule="auto"/>
        </w:trPr>
        <w:tc>
          <w:tcPr>
            <w:gridSpan w:val="11"/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Note. Descriptive and inferential statistics by age group and condition. Performance (*M*, *SD*) is percent correct responses.*p*, *t*, and *d* reflect one-sample t-tests vs. chance level (0.5). *Trials* = total trials across participants; *Trials/N* = average per participant.</w:t>
            </w:r>
          </w:p>
        </w:tc>
      </w:tr>
    </w:tbl>
    <w:p>
      <w:r>
        <w:br w:type="page"/>
      </w:r>
    </w:p>
    <w:bookmarkEnd w:id="34"/>
    <w:bookmarkStart w:id="37" w:name="study-2-1"/>
    <w:p>
      <w:pPr>
        <w:pStyle w:val="berschrift2"/>
      </w:pPr>
      <w:r>
        <w:t xml:space="preserve">Study 2</w:t>
      </w:r>
    </w:p>
    <w:p>
      <w:pPr>
        <w:pStyle w:val="TableCaption"/>
      </w:pPr>
      <w:bookmarkStart w:id="35" w:name="tab:suppl-S2-coef-table"/>
      <w:bookmarkEnd w:id="35"/>
      <w:r>
        <w:t xml:space="preserve">Table 3:</w:t>
      </w:r>
      <w:r>
        <w:t xml:space="preserve"> </w:t>
      </w:r>
      <w:r>
        <w:t xml:space="preserve">Study 2 - Posterior Estimates for the Full Model.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743" w:hRule="auto"/>
          <w:tblHeader/>
        </w:trPr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Predictor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MAD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95% CrI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Bulk ESS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Tail ESS</w:t>
            </w:r>
          </w:p>
        </w:tc>
      </w:tr>
      <w:tr>
        <w:trPr>
          <w:trHeight w:val="728" w:hRule="auto"/>
        </w:trPr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Intercept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[0.69, 1.48]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3,776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6,041</w:t>
            </w:r>
          </w:p>
        </w:tc>
      </w:tr>
      <w:tr>
        <w:trPr>
          <w:trHeight w:val="72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Relative Position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[-0.64, 0.08]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7,227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7,370</w:t>
            </w:r>
          </w:p>
        </w:tc>
      </w:tr>
      <w:tr>
        <w:trPr>
          <w:trHeight w:val="72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Orientation of Object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[-0.46, 0.27]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7,545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7,408</w:t>
            </w:r>
          </w:p>
        </w:tc>
      </w:tr>
      <w:tr>
        <w:trPr>
          <w:trHeight w:val="72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Orientation of Feature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[-0.48, 0.23]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7,402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7,559</w:t>
            </w:r>
          </w:p>
        </w:tc>
      </w:tr>
      <w:tr>
        <w:trPr>
          <w:trHeight w:val="72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Age*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[0.14, 0.68]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4,964</w:t>
            </w:r>
          </w:p>
        </w:tc>
      </w:tr>
      <w:tr>
        <w:trPr>
          <w:trHeight w:val="72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Trial*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[0.10, 0.43]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5,662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7,109</w:t>
            </w:r>
          </w:p>
        </w:tc>
      </w:tr>
      <w:tr>
        <w:trPr>
          <w:trHeight w:val="72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Sex (Male)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[-0.45, 0.43]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3,485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5,359</w:t>
            </w:r>
          </w:p>
        </w:tc>
      </w:tr>
      <w:tr>
        <w:trPr>
          <w:trHeight w:val="72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Relative Position × Age*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[-0.37, 0.25]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7,445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7,754</w:t>
            </w:r>
          </w:p>
        </w:tc>
      </w:tr>
      <w:tr>
        <w:trPr>
          <w:trHeight w:val="72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Orientation of Object × Age*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[-0.12, 0.51]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7,513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7,844</w:t>
            </w:r>
          </w:p>
        </w:tc>
      </w:tr>
      <w:tr>
        <w:trPr>
          <w:trHeight w:val="736" w:hRule="auto"/>
        </w:trPr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Orientation of Feature × Age*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-0.01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0.16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0.16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[-0.32, 0.31]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7,428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8,385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Note. Estimates represent posterior means with 95% equal-tailed credible intervals (CrIs). MAD indicates Median Absolute Deviation. ESS refers to effective sample size. R̂ values omitted as they are all ~1 indicating convergence.  * = variables were standardized.</w:t>
            </w:r>
          </w:p>
        </w:tc>
      </w:tr>
    </w:tbl>
    <w:p>
      <w:r>
        <w:br w:type="page"/>
      </w:r>
    </w:p>
    <w:p>
      <w:pPr>
        <w:pStyle w:val="TableCaption"/>
      </w:pPr>
      <w:bookmarkStart w:id="36" w:name="tab:suppl-descriptives-S2"/>
      <w:bookmarkEnd w:id="36"/>
      <w:r>
        <w:t xml:space="preserve">Table 4:</w:t>
      </w:r>
      <w:r>
        <w:t xml:space="preserve"> </w:t>
      </w:r>
      <w:r>
        <w:t xml:space="preserve">Study 2 - Descriptives and Conventional Analyses.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738" w:hRule="auto"/>
          <w:tblHeader/>
        </w:trPr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Condition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Age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Trials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Trials/N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df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t(N-1)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</w:t>
            </w:r>
          </w:p>
        </w:tc>
      </w:tr>
      <w:tr>
        <w:trPr>
          <w:trHeight w:val="723" w:hRule="auto"/>
        </w:trPr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Absolute Position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3-year-olds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4.00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58.75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18.63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0.049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19.00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2.10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0.47</w:t>
            </w:r>
          </w:p>
        </w:tc>
      </w:tr>
      <w:tr>
        <w:trPr>
          <w:trHeight w:val="72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4-year-olds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0.36</w:t>
            </w:r>
          </w:p>
        </w:tc>
      </w:tr>
      <w:tr>
        <w:trPr>
          <w:trHeight w:val="72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5-year-olds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0.75</w:t>
            </w:r>
          </w:p>
        </w:tc>
      </w:tr>
      <w:tr>
        <w:trPr>
          <w:trHeight w:val="72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6-year-olds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1.06</w:t>
            </w:r>
          </w:p>
        </w:tc>
      </w:tr>
      <w:tr>
        <w:trPr>
          <w:trHeight w:val="72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Relative Position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3-year-olds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0.329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0.21</w:t>
            </w:r>
          </w:p>
        </w:tc>
      </w:tr>
      <w:tr>
        <w:trPr>
          <w:trHeight w:val="72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4-year-olds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0.36</w:t>
            </w:r>
          </w:p>
        </w:tc>
      </w:tr>
      <w:tr>
        <w:trPr>
          <w:trHeight w:val="72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5-year-olds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0.54</w:t>
            </w:r>
          </w:p>
        </w:tc>
      </w:tr>
      <w:tr>
        <w:trPr>
          <w:trHeight w:val="72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6-year-olds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76.00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0.74</w:t>
            </w:r>
          </w:p>
        </w:tc>
      </w:tr>
      <w:tr>
        <w:trPr>
          <w:trHeight w:val="72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Orientation of Object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3-year-olds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0.06</w:t>
            </w:r>
          </w:p>
        </w:tc>
      </w:tr>
      <w:tr>
        <w:trPr>
          <w:trHeight w:val="72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4-year-olds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0.27</w:t>
            </w:r>
          </w:p>
        </w:tc>
      </w:tr>
      <w:tr>
        <w:trPr>
          <w:trHeight w:val="72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5-year-olds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1.06</w:t>
            </w:r>
          </w:p>
        </w:tc>
      </w:tr>
      <w:tr>
        <w:trPr>
          <w:trHeight w:val="72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6-year-olds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1.23</w:t>
            </w:r>
          </w:p>
        </w:tc>
      </w:tr>
      <w:tr>
        <w:trPr>
          <w:trHeight w:val="72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Orientation of Feature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3-year-olds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0.348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0.21</w:t>
            </w:r>
          </w:p>
        </w:tc>
      </w:tr>
      <w:tr>
        <w:trPr>
          <w:trHeight w:val="72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4-year-olds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0.59</w:t>
            </w:r>
          </w:p>
        </w:tc>
      </w:tr>
      <w:tr>
        <w:trPr>
          <w:trHeight w:val="72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5-year-olds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0.45</w:t>
            </w:r>
          </w:p>
        </w:tc>
      </w:tr>
      <w:tr>
        <w:trPr>
          <w:trHeight w:val="731" w:hRule="auto"/>
        </w:trPr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6-year-olds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100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4.00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79.00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33.60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24.00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4.32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0.86</w:t>
            </w:r>
          </w:p>
        </w:tc>
      </w:tr>
      <w:tr>
        <w:trPr>
          <w:trHeight w:val="360" w:hRule="auto"/>
        </w:trPr>
        <w:tc>
          <w:tcPr>
            <w:gridSpan w:val="11"/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Note. Descriptive and inferential statistics by age group and condition. Performance (*M*, *SD*) is percent correct responses.*p*, *t*, and *d* reflect one-sample t-tests vs. chance level (0.5). *Trials* = total trials across participants; *Trials/N* = average per participant.</w:t>
            </w:r>
          </w:p>
        </w:tc>
      </w:tr>
    </w:tbl>
    <w:p>
      <w:r>
        <w:br w:type="page"/>
      </w:r>
    </w:p>
    <w:bookmarkEnd w:id="37"/>
    <w:bookmarkStart w:id="40" w:name="study-3-1"/>
    <w:p>
      <w:pPr>
        <w:pStyle w:val="berschrift2"/>
      </w:pPr>
      <w:r>
        <w:t xml:space="preserve">Study 3</w:t>
      </w:r>
    </w:p>
    <w:p>
      <w:pPr>
        <w:pStyle w:val="TableCaption"/>
      </w:pPr>
      <w:bookmarkStart w:id="38" w:name="tab:suppl-S3-coef-table"/>
      <w:bookmarkEnd w:id="38"/>
      <w:r>
        <w:t xml:space="preserve">Table 5:</w:t>
      </w:r>
      <w:r>
        <w:t xml:space="preserve"> </w:t>
      </w:r>
      <w:r>
        <w:t xml:space="preserve">Study 3 - Posterior Estimates for the Full Model.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743" w:hRule="auto"/>
          <w:tblHeader/>
        </w:trPr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Predictor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MAD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95% CrI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Bulk ESS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Tail ESS</w:t>
            </w:r>
          </w:p>
        </w:tc>
      </w:tr>
      <w:tr>
        <w:trPr>
          <w:trHeight w:val="728" w:hRule="auto"/>
        </w:trPr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Intercept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[0.70, 1.38]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5,074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6,931</w:t>
            </w:r>
          </w:p>
        </w:tc>
      </w:tr>
      <w:tr>
        <w:trPr>
          <w:trHeight w:val="72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Size of Feature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[-1.06, -0.36]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7,351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7,601</w:t>
            </w:r>
          </w:p>
        </w:tc>
      </w:tr>
      <w:tr>
        <w:trPr>
          <w:trHeight w:val="72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Number of Object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[-0.43, 0.28]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7,735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8,265</w:t>
            </w:r>
          </w:p>
        </w:tc>
      </w:tr>
      <w:tr>
        <w:trPr>
          <w:trHeight w:val="72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Number of Feature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[-0.67, 0.05]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7,429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7,348</w:t>
            </w:r>
          </w:p>
        </w:tc>
      </w:tr>
      <w:tr>
        <w:trPr>
          <w:trHeight w:val="72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Age*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[0.44, 0.97]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4,556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6,771</w:t>
            </w:r>
          </w:p>
        </w:tc>
      </w:tr>
      <w:tr>
        <w:trPr>
          <w:trHeight w:val="72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Trial*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[0.06, 0.36]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8,586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7,671</w:t>
            </w:r>
          </w:p>
        </w:tc>
      </w:tr>
      <w:tr>
        <w:trPr>
          <w:trHeight w:val="72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Sex (Male)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[-0.55, 0.18]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5,392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6,583</w:t>
            </w:r>
          </w:p>
        </w:tc>
      </w:tr>
      <w:tr>
        <w:trPr>
          <w:trHeight w:val="72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Size of Feature × Age*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[-0.82, -0.20]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6,979</w:t>
            </w:r>
          </w:p>
        </w:tc>
      </w:tr>
      <w:tr>
        <w:trPr>
          <w:trHeight w:val="72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Number of Object × Age*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[-0.32, 0.32]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6,741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7,976</w:t>
            </w:r>
          </w:p>
        </w:tc>
      </w:tr>
      <w:tr>
        <w:trPr>
          <w:trHeight w:val="736" w:hRule="auto"/>
        </w:trPr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Number of Feature × Age*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-0.29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0.16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0.16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[-0.60, 0.03]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6,633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6,930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Note. Estimates represent posterior means with 95% equal-tailed credible intervals (CrIs). MAD indicates Median Absolute Deviation. ESS refers to effective sample size. R̂ values omitted as they are all ~1 indicating convergence.  * = variables were standardized.</w:t>
            </w:r>
          </w:p>
        </w:tc>
      </w:tr>
    </w:tbl>
    <w:p>
      <w:r>
        <w:br w:type="page"/>
      </w:r>
    </w:p>
    <w:p>
      <w:pPr>
        <w:pStyle w:val="TableCaption"/>
      </w:pPr>
      <w:bookmarkStart w:id="39" w:name="tab:suppl-descriptives-S3"/>
      <w:bookmarkEnd w:id="39"/>
      <w:r>
        <w:t xml:space="preserve">Table 6:</w:t>
      </w:r>
      <w:r>
        <w:t xml:space="preserve"> </w:t>
      </w:r>
      <w:r>
        <w:t xml:space="preserve">Study 3 - Descriptives and Conventional Analyses.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738" w:hRule="auto"/>
          <w:tblHeader/>
        </w:trPr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Condition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Age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Trials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Trials/N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df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t(N-1)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</w:t>
            </w:r>
          </w:p>
        </w:tc>
      </w:tr>
      <w:tr>
        <w:trPr>
          <w:trHeight w:val="723" w:hRule="auto"/>
        </w:trPr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Size of Object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3-year-olds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4.00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51.19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23.02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0.815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20.00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0.05</w:t>
            </w:r>
          </w:p>
        </w:tc>
      </w:tr>
      <w:tr>
        <w:trPr>
          <w:trHeight w:val="72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4-year-olds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0.456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0.15</w:t>
            </w:r>
          </w:p>
        </w:tc>
      </w:tr>
      <w:tr>
        <w:trPr>
          <w:trHeight w:val="72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5-year-olds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1.35</w:t>
            </w:r>
          </w:p>
        </w:tc>
      </w:tr>
      <w:tr>
        <w:trPr>
          <w:trHeight w:val="72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6-year-olds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1.25</w:t>
            </w:r>
          </w:p>
        </w:tc>
      </w:tr>
      <w:tr>
        <w:trPr>
          <w:trHeight w:val="72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Size of Feature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3-year-olds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0.419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0.18</w:t>
            </w:r>
          </w:p>
        </w:tc>
      </w:tr>
      <w:tr>
        <w:trPr>
          <w:trHeight w:val="72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4-year-olds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0.08</w:t>
            </w:r>
          </w:p>
        </w:tc>
      </w:tr>
      <w:tr>
        <w:trPr>
          <w:trHeight w:val="72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5-year-olds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0.21</w:t>
            </w:r>
          </w:p>
        </w:tc>
      </w:tr>
      <w:tr>
        <w:trPr>
          <w:trHeight w:val="72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6-year-olds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0.64</w:t>
            </w:r>
          </w:p>
        </w:tc>
      </w:tr>
      <w:tr>
        <w:trPr>
          <w:trHeight w:val="72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Number of Object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3-year-olds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0.34</w:t>
            </w:r>
          </w:p>
        </w:tc>
      </w:tr>
      <w:tr>
        <w:trPr>
          <w:trHeight w:val="72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4-year-olds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0.36</w:t>
            </w:r>
          </w:p>
        </w:tc>
      </w:tr>
      <w:tr>
        <w:trPr>
          <w:trHeight w:val="72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5-year-olds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0.63</w:t>
            </w:r>
          </w:p>
        </w:tc>
      </w:tr>
      <w:tr>
        <w:trPr>
          <w:trHeight w:val="72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6-year-olds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83.33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1.02</w:t>
            </w:r>
          </w:p>
        </w:tc>
      </w:tr>
      <w:tr>
        <w:trPr>
          <w:trHeight w:val="72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Number of Feature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3-year-olds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0.00</w:t>
            </w:r>
          </w:p>
        </w:tc>
      </w:tr>
      <w:tr>
        <w:trPr>
          <w:trHeight w:val="72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4-year-olds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0.53</w:t>
            </w:r>
          </w:p>
        </w:tc>
      </w:tr>
      <w:tr>
        <w:trPr>
          <w:trHeight w:val="72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5-year-olds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0.49</w:t>
            </w:r>
          </w:p>
        </w:tc>
      </w:tr>
      <w:tr>
        <w:trPr>
          <w:trHeight w:val="731" w:hRule="auto"/>
        </w:trPr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6-year-olds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96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4.00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76.04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27.07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23.00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4.71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0.96</w:t>
            </w:r>
          </w:p>
        </w:tc>
      </w:tr>
      <w:tr>
        <w:trPr>
          <w:trHeight w:val="360" w:hRule="auto"/>
        </w:trPr>
        <w:tc>
          <w:tcPr>
            <w:gridSpan w:val="11"/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Note. Descriptive and inferential statistics by age group and condition. Performance (*M*, *SD*) is percent correct responses.*p*, *t*, and *d* reflect one-sample t-tests vs. chance level (0.5). *Trials* = total trials across participants; *Trials/N* = average per participant.</w:t>
            </w:r>
          </w:p>
        </w:tc>
      </w:tr>
    </w:tbl>
    <w:p>
      <w:r>
        <w:br w:type="page"/>
      </w:r>
    </w:p>
    <w:bookmarkEnd w:id="40"/>
    <w:bookmarkEnd w:id="41"/>
    <w:bookmarkStart w:id="53" w:name="X832b864eaa7a79ed287840c9c1c82763d4f18e6"/>
    <w:p>
      <w:pPr>
        <w:pStyle w:val="berschrift1"/>
      </w:pPr>
      <w:r>
        <w:t xml:space="preserve">Exploratory Analyses Including Item-Level Random Effects</w:t>
      </w:r>
    </w:p>
    <w:p>
      <w:pPr>
        <w:pStyle w:val="FirstParagraph"/>
      </w:pPr>
      <w:r>
        <w:t xml:space="preserve">In addition to our main analyses, we preregistered additional</w:t>
      </w:r>
      <w:r>
        <w:t xml:space="preserve"> </w:t>
      </w:r>
      <w:r>
        <w:t xml:space="preserve">exploratory analyses for evaluating item-level effects separately in</w:t>
      </w:r>
      <w:r>
        <w:t xml:space="preserve"> </w:t>
      </w:r>
      <w:r>
        <w:t xml:space="preserve">each study. For this we added a crossed random effects for items,</w:t>
      </w:r>
      <w:r>
        <w:t xml:space="preserve"> </w:t>
      </w:r>
      <w:r>
        <w:t xml:space="preserve">allowing the relationship between age and performance to vary across</w:t>
      </w:r>
      <w:r>
        <w:t xml:space="preserve"> </w:t>
      </w:r>
      <w:r>
        <w:t xml:space="preserve">items (correct ~ condition*z.age + z.trial + sex + (z.trial |subid)).</w:t>
      </w:r>
      <w:r>
        <w:t xml:space="preserve"> </w:t>
      </w:r>
      <w:r>
        <w:t xml:space="preserve">Due to the lower number of individual items within a task, we expected</w:t>
      </w:r>
      <w:r>
        <w:t xml:space="preserve"> </w:t>
      </w:r>
      <w:r>
        <w:t xml:space="preserve">these models to be less diagnostic with regard to our main research</w:t>
      </w:r>
      <w:r>
        <w:t xml:space="preserve"> </w:t>
      </w:r>
      <w:r>
        <w:t xml:space="preserve">question. However, the analyses provides detail about the equivalence of</w:t>
      </w:r>
      <w:r>
        <w:t xml:space="preserve"> </w:t>
      </w:r>
      <w:r>
        <w:t xml:space="preserve">items within conditions.</w:t>
      </w:r>
    </w:p>
    <w:bookmarkStart w:id="42" w:name="study-1-2"/>
    <w:p>
      <w:pPr>
        <w:pStyle w:val="berschrift2"/>
      </w:pPr>
      <w:r>
        <w:t xml:space="preserve">Study 1</w:t>
      </w:r>
    </w:p>
    <w:p>
      <w:pPr>
        <w:pStyle w:val="FirstParagraph"/>
      </w:pPr>
      <w:r>
        <w:t xml:space="preserve">An exploratory model with additional item-level random effects showed</w:t>
      </w:r>
      <w:r>
        <w:t xml:space="preserve"> </w:t>
      </w:r>
      <w:r>
        <w:t xml:space="preserve">that the variability of intercepts at the item level was small (</w:t>
      </w:r>
      <m:oMath>
        <m:r>
          <m:t>β</m:t>
        </m:r>
      </m:oMath>
      <w:r>
        <w:t xml:space="preserve"> </w:t>
      </w:r>
      <w:r>
        <w:t xml:space="preserve">= 0.17, 95% CrI</w:t>
      </w:r>
      <w:r>
        <w:t xml:space="preserve"> </w:t>
      </w:r>
      <w:r>
        <w:t xml:space="preserve">[0.01,0.40]).</w:t>
      </w:r>
      <w:r>
        <w:t xml:space="preserve"> </w:t>
      </w:r>
      <w:r>
        <w:t xml:space="preserve">Likewise there was only modest variation for the effect of age across</w:t>
      </w:r>
      <w:r>
        <w:t xml:space="preserve"> </w:t>
      </w:r>
      <w:r>
        <w:t xml:space="preserve">items (</w:t>
      </w:r>
      <m:oMath>
        <m:r>
          <m:t>β</m:t>
        </m:r>
      </m:oMath>
      <w:r>
        <w:t xml:space="preserve"> </w:t>
      </w:r>
      <w:r>
        <w:t xml:space="preserve">= 0.14, 95% CrI</w:t>
      </w:r>
      <w:r>
        <w:t xml:space="preserve"> </w:t>
      </w:r>
      <w:r>
        <w:t xml:space="preserve">[0.01,0.34]).</w:t>
      </w:r>
      <w:r>
        <w:t xml:space="preserve"> </w:t>
      </w:r>
      <w:r>
        <w:t xml:space="preserve">The correlation between item difficulty and item-specific age slopes was</w:t>
      </w:r>
      <w:r>
        <w:t xml:space="preserve"> </w:t>
      </w:r>
      <w:r>
        <w:t xml:space="preserve">highly uncertain (ρ =</w:t>
      </w:r>
      <w:r>
        <w:t xml:space="preserve"> </w:t>
      </w:r>
      <w:r>
        <w:t xml:space="preserve">0.35, 95% CrI</w:t>
      </w:r>
      <w:r>
        <w:t xml:space="preserve"> </w:t>
      </w:r>
      <w:r>
        <w:t xml:space="preserve">[-0.83,0.98]).</w:t>
      </w:r>
      <w:r>
        <w:t xml:space="preserve"> </w:t>
      </w:r>
      <w:r>
        <w:t xml:space="preserve">Model weights based on the WAIC suggested that the full model was more</w:t>
      </w:r>
      <w:r>
        <w:t xml:space="preserve"> </w:t>
      </w:r>
      <w:r>
        <w:t xml:space="preserve">likely to provide accurate predictions (weight =</w:t>
      </w:r>
      <w:r>
        <w:t xml:space="preserve"> </w:t>
      </w:r>
      <w:r>
        <w:t xml:space="preserve">82.92% ) compared</w:t>
      </w:r>
      <w:r>
        <w:t xml:space="preserve"> </w:t>
      </w:r>
      <w:r>
        <w:t xml:space="preserve">to the item model (weight =</w:t>
      </w:r>
      <w:r>
        <w:t xml:space="preserve"> </w:t>
      </w:r>
      <w:r>
        <w:t xml:space="preserve">17.08%).The</w:t>
      </w:r>
      <w:r>
        <w:t xml:space="preserve"> </w:t>
      </w:r>
      <w:r>
        <w:t xml:space="preserve">estimated difference in expected log predictive density (elpd) between</w:t>
      </w:r>
      <w:r>
        <w:t xml:space="preserve"> </w:t>
      </w:r>
      <w:r>
        <w:t xml:space="preserve">models, however, was not much larger than the difference itself (ELPD</w:t>
      </w:r>
      <w:r>
        <w:t xml:space="preserve"> </w:t>
      </w:r>
      <w:r>
        <w:t xml:space="preserve">diff = -0.91),</w:t>
      </w:r>
      <w:r>
        <w:t xml:space="preserve"> </w:t>
      </w:r>
      <w:r>
        <w:t xml:space="preserve">indicating considerable uncertainty as to whether either model was</w:t>
      </w:r>
      <w:r>
        <w:t xml:space="preserve"> </w:t>
      </w:r>
      <w:r>
        <w:t xml:space="preserve">preferable. For on overview of logg odds for all items across conditions</w:t>
      </w:r>
      <w:r>
        <w:t xml:space="preserve"> </w:t>
      </w:r>
      <w:r>
        <w:t xml:space="preserve">see figure</w:t>
      </w:r>
      <w:r>
        <w:t xml:space="preserve"> </w:t>
      </w:r>
      <w:r>
        <w:t xml:space="preserve">3</w:t>
      </w:r>
      <w:r>
        <w:t xml:space="preserve">. For a full overview</w:t>
      </w:r>
      <w:r>
        <w:t xml:space="preserve"> </w:t>
      </w:r>
      <w:r>
        <w:t xml:space="preserve">of coefficients and the random effects structure of the item model see</w:t>
      </w:r>
      <w:r>
        <w:t xml:space="preserve"> </w:t>
      </w:r>
      <w:r>
        <w:t xml:space="preserve">table</w:t>
      </w:r>
      <w:r>
        <w:t xml:space="preserve"> </w:t>
      </w:r>
      <w:r>
        <w:t xml:space="preserve">7</w:t>
      </w:r>
      <w:r>
        <w:t xml:space="preserve">.</w:t>
      </w:r>
    </w:p>
    <w:bookmarkEnd w:id="42"/>
    <w:bookmarkStart w:id="43" w:name="study-2-2"/>
    <w:p>
      <w:pPr>
        <w:pStyle w:val="berschrift2"/>
      </w:pPr>
      <w:r>
        <w:t xml:space="preserve">Study 2</w:t>
      </w:r>
    </w:p>
    <w:p>
      <w:pPr>
        <w:pStyle w:val="FirstParagraph"/>
      </w:pPr>
      <w:r>
        <w:t xml:space="preserve">An exploratory model including item-level random effects indicated</w:t>
      </w:r>
      <w:r>
        <w:t xml:space="preserve"> </w:t>
      </w:r>
      <w:r>
        <w:t xml:space="preserve">modest variability (</w:t>
      </w:r>
      <m:oMath>
        <m:r>
          <m:t>β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0.25, 95% CrI</w:t>
      </w:r>
      <w:r>
        <w:t xml:space="preserve"> </w:t>
      </w:r>
      <w:r>
        <w:t xml:space="preserve">[0.02,0.53]).</w:t>
      </w:r>
      <w:r>
        <w:t xml:space="preserve"> </w:t>
      </w:r>
      <w:r>
        <w:t xml:space="preserve">The variability of age effects across items was small (</w:t>
      </w:r>
      <m:oMath>
        <m:r>
          <m:t>β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0.11, 95% CrI</w:t>
      </w:r>
      <w:r>
        <w:t xml:space="preserve"> </w:t>
      </w:r>
      <w:r>
        <w:t xml:space="preserve">[0.00,</w:t>
      </w:r>
      <w:r>
        <w:t xml:space="preserve"> </w:t>
      </w:r>
      <w:r>
        <w:t xml:space="preserve">0.30]), suggesting that the</w:t>
      </w:r>
      <w:r>
        <w:t xml:space="preserve"> </w:t>
      </w:r>
      <w:r>
        <w:t xml:space="preserve">effect of age was fairly consistent across items. The correlation</w:t>
      </w:r>
      <w:r>
        <w:t xml:space="preserve"> </w:t>
      </w:r>
      <w:r>
        <w:t xml:space="preserve">between item intercepts and age slopes was near zero and highly</w:t>
      </w:r>
      <w:r>
        <w:t xml:space="preserve"> </w:t>
      </w:r>
      <w:r>
        <w:t xml:space="preserve">uncertain (ρ = 0.01,</w:t>
      </w:r>
      <w:r>
        <w:t xml:space="preserve"> </w:t>
      </w:r>
      <w:r>
        <w:t xml:space="preserve">95% CrI</w:t>
      </w:r>
      <w:r>
        <w:t xml:space="preserve"> </w:t>
      </w:r>
      <w:r>
        <w:t xml:space="preserve">[-0.94,0.94]),</w:t>
      </w:r>
      <w:r>
        <w:t xml:space="preserve"> </w:t>
      </w:r>
      <w:r>
        <w:t xml:space="preserve">providing no reliable evidence that slightly easier or difficult items</w:t>
      </w:r>
      <w:r>
        <w:t xml:space="preserve"> </w:t>
      </w:r>
      <w:r>
        <w:t xml:space="preserve">varied in age-related gains. Comparing the models using WAIC weights</w:t>
      </w:r>
      <w:r>
        <w:t xml:space="preserve"> </w:t>
      </w:r>
      <w:r>
        <w:t xml:space="preserve">showed that including item-level random effects in Study 2 did not</w:t>
      </w:r>
      <w:r>
        <w:t xml:space="preserve"> </w:t>
      </w:r>
      <w:r>
        <w:t xml:space="preserve">provide a clear advantage in out-of-sample predictive accuracy (full</w:t>
      </w:r>
      <w:r>
        <w:t xml:space="preserve"> </w:t>
      </w:r>
      <w:r>
        <w:t xml:space="preserve">model 39.32%;</w:t>
      </w:r>
      <w:r>
        <w:t xml:space="preserve"> </w:t>
      </w:r>
      <w:r>
        <w:t xml:space="preserve">item model</w:t>
      </w:r>
      <w:r>
        <w:t xml:space="preserve"> </w:t>
      </w:r>
      <w:r>
        <w:t xml:space="preserve">60.68%).</w:t>
      </w:r>
      <w:r>
        <w:t xml:space="preserve"> </w:t>
      </w:r>
      <w:r>
        <w:t xml:space="preserve">Comparing the models corroborates this (ELPD WAIC; full model =</w:t>
      </w:r>
      <w:r>
        <w:t xml:space="preserve"> </w:t>
      </w:r>
      <w:r>
        <w:t xml:space="preserve">-889.99; item model =</w:t>
      </w:r>
      <w:r>
        <w:t xml:space="preserve"> </w:t>
      </w:r>
      <w:r>
        <w:t xml:space="preserve">-889.28). The</w:t>
      </w:r>
      <w:r>
        <w:t xml:space="preserve"> </w:t>
      </w:r>
      <w:r>
        <w:t xml:space="preserve">difference in expected log predictive density was negligible (ELPD diff</w:t>
      </w:r>
      <w:r>
        <w:t xml:space="preserve"> </w:t>
      </w:r>
      <w:r>
        <w:t xml:space="preserve">= 0), and</w:t>
      </w:r>
      <w:r>
        <w:t xml:space="preserve"> </w:t>
      </w:r>
      <w:r>
        <w:t xml:space="preserve">within the range of sampling uncertainty (SE</w:t>
      </w:r>
      <w:r>
        <w:t xml:space="preserve"> </w:t>
      </w:r>
      <w:r>
        <w:t xml:space="preserve">=0). For an</w:t>
      </w:r>
      <w:r>
        <w:t xml:space="preserve"> </w:t>
      </w:r>
      <w:r>
        <w:t xml:space="preserve">overview of item level variability across conditions see figure</w:t>
      </w:r>
      <w:r>
        <w:t xml:space="preserve"> </w:t>
      </w:r>
      <w:r>
        <w:t xml:space="preserve">3</w:t>
      </w:r>
      <w:r>
        <w:t xml:space="preserve">. For a full table of coefficients</w:t>
      </w:r>
      <w:r>
        <w:t xml:space="preserve"> </w:t>
      </w:r>
      <w:r>
        <w:t xml:space="preserve">and random effects of the exploratory model see table</w:t>
      </w:r>
      <w:r>
        <w:t xml:space="preserve"> </w:t>
      </w:r>
      <w:r>
        <w:t xml:space="preserve">8</w:t>
      </w:r>
      <w:r>
        <w:t xml:space="preserve">.</w:t>
      </w:r>
    </w:p>
    <w:bookmarkEnd w:id="43"/>
    <w:bookmarkStart w:id="44" w:name="study-3-2"/>
    <w:p>
      <w:pPr>
        <w:pStyle w:val="berschrift2"/>
      </w:pPr>
      <w:r>
        <w:t xml:space="preserve">Study 3</w:t>
      </w:r>
    </w:p>
    <w:p>
      <w:pPr>
        <w:pStyle w:val="FirstParagraph"/>
      </w:pPr>
      <w:r>
        <w:t xml:space="preserve">To evaluate the equivalence of items within conditions, item-level</w:t>
      </w:r>
      <w:r>
        <w:t xml:space="preserve"> </w:t>
      </w:r>
      <w:r>
        <w:t xml:space="preserve">random effects were included in an exploratory model showing that item</w:t>
      </w:r>
      <w:r>
        <w:t xml:space="preserve"> </w:t>
      </w:r>
      <w:r>
        <w:t xml:space="preserve">variation at the intercept was moderate (</w:t>
      </w:r>
      <m:oMath>
        <m:r>
          <m:t>β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0.20, 95% CrI</w:t>
      </w:r>
      <w:r>
        <w:t xml:space="preserve"> </w:t>
      </w:r>
      <w:r>
        <w:t xml:space="preserve">[0.02,0.44])</w:t>
      </w:r>
      <w:r>
        <w:t xml:space="preserve"> </w:t>
      </w:r>
      <w:r>
        <w:t xml:space="preserve">and that the effect of age varied slightly across items (</w:t>
      </w:r>
      <m:oMath>
        <m:r>
          <m:t>β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0.22, 95% CrI</w:t>
      </w:r>
      <w:r>
        <w:t xml:space="preserve"> </w:t>
      </w:r>
      <w:r>
        <w:t xml:space="preserve">[0.03,0.45]).</w:t>
      </w:r>
      <w:r>
        <w:t xml:space="preserve"> </w:t>
      </w:r>
      <w:r>
        <w:t xml:space="preserve">Again, the correlation between item difficulty and item-specific age</w:t>
      </w:r>
      <w:r>
        <w:t xml:space="preserve"> </w:t>
      </w:r>
      <w:r>
        <w:t xml:space="preserve">slopes was moderately positive but uncertain (ρ =</w:t>
      </w:r>
      <w:r>
        <w:t xml:space="preserve"> </w:t>
      </w:r>
      <w:r>
        <w:t xml:space="preserve">0.55, 95% CrI</w:t>
      </w:r>
      <w:r>
        <w:t xml:space="preserve"> </w:t>
      </w:r>
      <w:r>
        <w:t xml:space="preserve">[-0.57,0.99])</w:t>
      </w:r>
      <w:r>
        <w:t xml:space="preserve"> </w:t>
      </w:r>
      <w:r>
        <w:t xml:space="preserve">providing weak evidence that easier items had stronger age-related</w:t>
      </w:r>
      <w:r>
        <w:t xml:space="preserve"> </w:t>
      </w:r>
      <w:r>
        <w:t xml:space="preserve">gains. Comparing the models using WAIC weights showed that the item</w:t>
      </w:r>
      <w:r>
        <w:t xml:space="preserve"> </w:t>
      </w:r>
      <w:r>
        <w:t xml:space="preserve">model had higher predictive power (full model</w:t>
      </w:r>
      <w:r>
        <w:t xml:space="preserve"> </w:t>
      </w:r>
      <w:r>
        <w:t xml:space="preserve">31.70%; item</w:t>
      </w:r>
      <w:r>
        <w:t xml:space="preserve"> </w:t>
      </w:r>
      <w:r>
        <w:t xml:space="preserve">model 68.30%).</w:t>
      </w:r>
      <w:r>
        <w:t xml:space="preserve"> </w:t>
      </w:r>
      <w:r>
        <w:t xml:space="preserve">Comparing the models’ WAIC via ELPDs corroborates this (full model =</w:t>
      </w:r>
      <w:r>
        <w:t xml:space="preserve"> </w:t>
      </w:r>
      <w:r>
        <w:t xml:space="preserve">-941.75; item model =</w:t>
      </w:r>
      <w:r>
        <w:t xml:space="preserve"> </w:t>
      </w:r>
      <w:r>
        <w:t xml:space="preserve">-939.71). The</w:t>
      </w:r>
      <w:r>
        <w:t xml:space="preserve"> </w:t>
      </w:r>
      <w:r>
        <w:t xml:space="preserve">difference in expected log predictive density favored the item model</w:t>
      </w:r>
      <w:r>
        <w:t xml:space="preserve"> </w:t>
      </w:r>
      <w:r>
        <w:t xml:space="preserve">(ELPD diff =</w:t>
      </w:r>
      <w:r>
        <w:t xml:space="preserve"> </w:t>
      </w:r>
      <w:r>
        <w:t xml:space="preserve">-2.04), though the</w:t>
      </w:r>
      <w:r>
        <w:t xml:space="preserve"> </w:t>
      </w:r>
      <w:r>
        <w:t xml:space="preserve">uncertainty around this estimate suggests that the evidence is not</w:t>
      </w:r>
      <w:r>
        <w:t xml:space="preserve"> </w:t>
      </w:r>
      <w:r>
        <w:t xml:space="preserve">decisive (SE =3.19).</w:t>
      </w:r>
      <w:r>
        <w:t xml:space="preserve"> </w:t>
      </w:r>
      <w:r>
        <w:t xml:space="preserve">Graphically exploring item-level variability via logg odds indicates</w:t>
      </w:r>
      <w:r>
        <w:t xml:space="preserve"> </w:t>
      </w:r>
      <w:r>
        <w:t xml:space="preserve">that the estimated deviation from the intercept is still including zero</w:t>
      </w:r>
      <w:r>
        <w:t xml:space="preserve"> </w:t>
      </w:r>
      <w:r>
        <w:t xml:space="preserve">(cf. figure</w:t>
      </w:r>
      <w:r>
        <w:t xml:space="preserve"> </w:t>
      </w:r>
      <w:r>
        <w:t xml:space="preserve">3</w:t>
      </w:r>
      <w:r>
        <w:t xml:space="preserve">). For an overview of</w:t>
      </w:r>
      <w:r>
        <w:t xml:space="preserve"> </w:t>
      </w:r>
      <w:r>
        <w:t xml:space="preserve">coefficients and random effects see table</w:t>
      </w:r>
      <w:r>
        <w:t xml:space="preserve"> </w:t>
      </w:r>
      <w:r>
        <w:t xml:space="preserve">9</w:t>
      </w:r>
      <w:r>
        <w:t xml:space="preserve"> </w:t>
      </w:r>
      <w:r>
        <w:t xml:space="preserve">in appendix 3.</w:t>
      </w:r>
    </w:p>
    <w:bookmarkEnd w:id="44"/>
    <w:bookmarkStart w:id="52" w:name="discussion"/>
    <w:p>
      <w:pPr>
        <w:pStyle w:val="berschrift2"/>
      </w:pPr>
      <w:r>
        <w:t xml:space="preserve">Discussion</w:t>
      </w:r>
    </w:p>
    <w:p>
      <w:pPr>
        <w:pStyle w:val="FirstParagraph"/>
      </w:pPr>
      <w:r>
        <w:t xml:space="preserve">In studies 1 and 2, the inclusion of item-level random effects did not</w:t>
      </w:r>
      <w:r>
        <w:t xml:space="preserve"> </w:t>
      </w:r>
      <w:r>
        <w:t xml:space="preserve">meaningfully improve model fit. The main analyses reported in the</w:t>
      </w:r>
      <w:r>
        <w:t xml:space="preserve"> </w:t>
      </w:r>
      <w:r>
        <w:t xml:space="preserve">manuscript and the exploratory models reported here account for the data</w:t>
      </w:r>
      <w:r>
        <w:t xml:space="preserve"> </w:t>
      </w:r>
      <w:r>
        <w:t xml:space="preserve">equally well. For study 3, including item-level random effects yielded</w:t>
      </w:r>
      <w:r>
        <w:t xml:space="preserve"> </w:t>
      </w:r>
      <w:r>
        <w:t xml:space="preserve">moderate variability. Here the analysis provides modest evidence for</w:t>
      </w:r>
      <w:r>
        <w:t xml:space="preserve"> </w:t>
      </w:r>
      <w:r>
        <w:t xml:space="preserve">variability due to item level effects. As in all studies reported above,</w:t>
      </w:r>
      <w:r>
        <w:t xml:space="preserve"> </w:t>
      </w:r>
      <w:r>
        <w:t xml:space="preserve">these were small compared to the participant random effects. None of the</w:t>
      </w:r>
      <w:r>
        <w:t xml:space="preserve"> </w:t>
      </w:r>
      <w:r>
        <w:t xml:space="preserve">model comparisons provided substantial evidence for a better fit of the</w:t>
      </w:r>
      <w:r>
        <w:t xml:space="preserve"> </w:t>
      </w:r>
      <w:r>
        <w:t xml:space="preserve">exploratory models. Hence, the additional analyses provided here provide</w:t>
      </w:r>
      <w:r>
        <w:t xml:space="preserve"> </w:t>
      </w:r>
      <w:r>
        <w:t xml:space="preserve">no grounds for deterring from the preregistered analysis reported in the</w:t>
      </w:r>
      <w:r>
        <w:t xml:space="preserve"> </w:t>
      </w:r>
      <w:r>
        <w:t xml:space="preserve">manuscript.</w:t>
      </w:r>
    </w:p>
    <w:p>
      <w:r>
        <w:br w:type="page"/>
      </w:r>
    </w:p>
    <w:p>
      <w:pPr>
        <w:pStyle w:val="TableCaption"/>
      </w:pPr>
      <w:bookmarkStart w:id="45" w:name="tab:S1item-coef-table"/>
      <w:bookmarkEnd w:id="45"/>
      <w:r>
        <w:t xml:space="preserve">Table 7:</w:t>
      </w:r>
      <w:r>
        <w:t xml:space="preserve"> </w:t>
      </w:r>
      <w:r>
        <w:t xml:space="preserve">Study 1 - Posterior Estimates for Exploratory Model with Item-Level Random Effects.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743" w:hRule="auto"/>
          <w:tblHeader/>
        </w:trPr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Predictor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MAD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95% CrI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Bulk ESS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Tail ESS</w:t>
            </w:r>
          </w:p>
        </w:tc>
      </w:tr>
      <w:tr>
        <w:trPr>
          <w:trHeight w:val="728" w:hRule="auto"/>
        </w:trPr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Intercept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2.04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[1.60, 2.50]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6,827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6,155</w:t>
            </w:r>
          </w:p>
        </w:tc>
      </w:tr>
      <w:tr>
        <w:trPr>
          <w:trHeight w:val="72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Pars Pro Toto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[-0.63, 0.36]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9,329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7,194</w:t>
            </w:r>
          </w:p>
        </w:tc>
      </w:tr>
      <w:tr>
        <w:trPr>
          <w:trHeight w:val="72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Simple Form Analogy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[-1.85, -0.94]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8,693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7,089</w:t>
            </w:r>
          </w:p>
        </w:tc>
      </w:tr>
      <w:tr>
        <w:trPr>
          <w:trHeight w:val="72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Complex Form Analogy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[-1.82, -0.91]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8,770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7,373</w:t>
            </w:r>
          </w:p>
        </w:tc>
      </w:tr>
      <w:tr>
        <w:trPr>
          <w:trHeight w:val="72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Age*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[0.09, 0.77]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6,101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5,738</w:t>
            </w:r>
          </w:p>
        </w:tc>
      </w:tr>
      <w:tr>
        <w:trPr>
          <w:trHeight w:val="72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Trial*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[-0.15, 0.12]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12,068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8,047</w:t>
            </w:r>
          </w:p>
        </w:tc>
      </w:tr>
      <w:tr>
        <w:trPr>
          <w:trHeight w:val="72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Sex (Male)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[-0.70, 0.11]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7,184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7,229</w:t>
            </w:r>
          </w:p>
        </w:tc>
      </w:tr>
      <w:tr>
        <w:trPr>
          <w:trHeight w:val="72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Pars Pro Toto × Age*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[-0.12, 0.73]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8,061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6,743</w:t>
            </w:r>
          </w:p>
        </w:tc>
      </w:tr>
      <w:tr>
        <w:trPr>
          <w:trHeight w:val="72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Simple Form Analogy × Age*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[-0.60, 0.19]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7,048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6,608</w:t>
            </w:r>
          </w:p>
        </w:tc>
      </w:tr>
      <w:tr>
        <w:trPr>
          <w:trHeight w:val="72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Complex Form Analogy × Age*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[-0.48, 0.32]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7,479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6,036</w:t>
            </w:r>
          </w:p>
        </w:tc>
      </w:tr>
      <w:tr>
        <w:trPr>
          <w:trHeight w:val="72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Random Effects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72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Item Intercept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[0.01, 0.40]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3,324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5,071</w:t>
            </w:r>
          </w:p>
        </w:tc>
      </w:tr>
      <w:tr>
        <w:trPr>
          <w:trHeight w:val="72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Item × Age Slope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[0.01, 0.34]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4,348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5,360</w:t>
            </w:r>
          </w:p>
        </w:tc>
      </w:tr>
      <w:tr>
        <w:trPr>
          <w:trHeight w:val="72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Subject Intercept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[0.66, 1.06]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4,038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6,548</w:t>
            </w:r>
          </w:p>
        </w:tc>
      </w:tr>
      <w:tr>
        <w:trPr>
          <w:trHeight w:val="72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Subject × Trial slope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[0.01, 0.37]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4,163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5,072</w:t>
            </w:r>
          </w:p>
        </w:tc>
      </w:tr>
      <w:tr>
        <w:trPr>
          <w:trHeight w:val="72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Correlation: Item Intercept &amp; Age Slope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[-0.83, 0.98]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6,312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7,115</w:t>
            </w:r>
          </w:p>
        </w:tc>
      </w:tr>
      <w:tr>
        <w:trPr>
          <w:trHeight w:val="736" w:hRule="auto"/>
        </w:trPr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Correlation: Subject Intercept &amp; Trial Slope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-0.48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0.42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0.37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[-0.98, 0.62]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9,528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6,694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Note. Estimates represent posterior means with 95% equal-tailed credible intervals (CrIs). MAD indicates Median Absolute Deviation. ESS refers to effective sample size. R̂ values omitted as they are all ~1 indicating convergence.  * = variables were standardized.</w:t>
            </w:r>
          </w:p>
        </w:tc>
      </w:tr>
    </w:tbl>
    <w:p>
      <w:r>
        <w:br w:type="page"/>
      </w:r>
    </w:p>
    <w:p>
      <w:pPr>
        <w:pStyle w:val="TableCaption"/>
      </w:pPr>
      <w:bookmarkStart w:id="46" w:name="tab:S2item-coef-table"/>
      <w:bookmarkEnd w:id="46"/>
      <w:r>
        <w:t xml:space="preserve">Table 8:</w:t>
      </w:r>
      <w:r>
        <w:t xml:space="preserve"> </w:t>
      </w:r>
      <w:r>
        <w:t xml:space="preserve">Study 2 - Posterior Estimates for Exploratory Model with Item-Level Random Effects.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743" w:hRule="auto"/>
          <w:tblHeader/>
        </w:trPr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Predictor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MAD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95% CrI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Bulk ESS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Tail ESS</w:t>
            </w:r>
          </w:p>
        </w:tc>
      </w:tr>
      <w:tr>
        <w:trPr>
          <w:trHeight w:val="728" w:hRule="auto"/>
        </w:trPr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Intercept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[0.63, 1.58]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6,790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6,800</w:t>
            </w:r>
          </w:p>
        </w:tc>
      </w:tr>
      <w:tr>
        <w:trPr>
          <w:trHeight w:val="72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Relative Position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[-0.82, 0.24]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8,525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6,333</w:t>
            </w:r>
          </w:p>
        </w:tc>
      </w:tr>
      <w:tr>
        <w:trPr>
          <w:trHeight w:val="72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Orientation of Object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[-0.63, 0.45]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8,989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6,423</w:t>
            </w:r>
          </w:p>
        </w:tc>
      </w:tr>
      <w:tr>
        <w:trPr>
          <w:trHeight w:val="72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Orientation of Feature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[-0.68, 0.42]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8,951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6,857</w:t>
            </w:r>
          </w:p>
        </w:tc>
      </w:tr>
      <w:tr>
        <w:trPr>
          <w:trHeight w:val="72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Age*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[0.11, 0.72]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7,413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7,361</w:t>
            </w:r>
          </w:p>
        </w:tc>
      </w:tr>
      <w:tr>
        <w:trPr>
          <w:trHeight w:val="72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Trial*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[0.10, 0.43]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9,367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8,404</w:t>
            </w:r>
          </w:p>
        </w:tc>
      </w:tr>
      <w:tr>
        <w:trPr>
          <w:trHeight w:val="72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Sex (Male)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[-0.46, 0.44]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6,139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6,947</w:t>
            </w:r>
          </w:p>
        </w:tc>
      </w:tr>
      <w:tr>
        <w:trPr>
          <w:trHeight w:val="72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Relative Position × Age*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[-0.43, 0.31]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9,354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7,529</w:t>
            </w:r>
          </w:p>
        </w:tc>
      </w:tr>
      <w:tr>
        <w:trPr>
          <w:trHeight w:val="72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Orientation of Object × Age*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[-0.16, 0.56]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9,640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7,368</w:t>
            </w:r>
          </w:p>
        </w:tc>
      </w:tr>
      <w:tr>
        <w:trPr>
          <w:trHeight w:val="72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Orientation of Feature × Age*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[-0.37, 0.36]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9,415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7,527</w:t>
            </w:r>
          </w:p>
        </w:tc>
      </w:tr>
      <w:tr>
        <w:trPr>
          <w:trHeight w:val="72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Random Effects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72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Item Intercept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[0.02, 0.53]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2,919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4,096</w:t>
            </w:r>
          </w:p>
        </w:tc>
      </w:tr>
      <w:tr>
        <w:trPr>
          <w:trHeight w:val="72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Item × Age Slope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[0.00, 0.30]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4,974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6,461</w:t>
            </w:r>
          </w:p>
        </w:tc>
      </w:tr>
      <w:tr>
        <w:trPr>
          <w:trHeight w:val="72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Subject Intercept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[0.76, 1.25]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3,605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5,886</w:t>
            </w:r>
          </w:p>
        </w:tc>
      </w:tr>
      <w:tr>
        <w:trPr>
          <w:trHeight w:val="72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Subject × Trial slope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[0.25, 0.71]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3,534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4,754</w:t>
            </w:r>
          </w:p>
        </w:tc>
      </w:tr>
      <w:tr>
        <w:trPr>
          <w:trHeight w:val="72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Correlation: Item Intercept &amp; Age Slope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[-0.94, 0.94]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12,775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7,849</w:t>
            </w:r>
          </w:p>
        </w:tc>
      </w:tr>
      <w:tr>
        <w:trPr>
          <w:trHeight w:val="736" w:hRule="auto"/>
        </w:trPr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Correlation: Subject Intercept &amp; Trial Slope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0.64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0.19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0.19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[0.20, 0.95]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3,746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3,362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Note. Estimates represent posterior means with 95% equal-tailed credible intervals (CrIs). MAD indicates Median Absolute Deviation. ESS refers to effective sample size. R̂ values omitted as they are all ~1 indicating convergence.  * = variables were standardized.</w:t>
            </w:r>
          </w:p>
        </w:tc>
      </w:tr>
    </w:tbl>
    <w:p>
      <w:r>
        <w:br w:type="page"/>
      </w:r>
    </w:p>
    <w:p>
      <w:pPr>
        <w:pStyle w:val="TableCaption"/>
      </w:pPr>
      <w:bookmarkStart w:id="47" w:name="tab:S3item-coef-table"/>
      <w:bookmarkEnd w:id="47"/>
      <w:r>
        <w:t xml:space="preserve">Table 9:</w:t>
      </w:r>
      <w:r>
        <w:t xml:space="preserve"> </w:t>
      </w:r>
      <w:r>
        <w:t xml:space="preserve">Study 3 - Posterior Estimates for Exploratory Model with Item-Level Random Effects.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743" w:hRule="auto"/>
          <w:tblHeader/>
        </w:trPr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Predictor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MAD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95% CrI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Bulk ESS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Tail ESS</w:t>
            </w:r>
          </w:p>
        </w:tc>
      </w:tr>
      <w:tr>
        <w:trPr>
          <w:trHeight w:val="728" w:hRule="auto"/>
        </w:trPr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Intercept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[0.66, 1.48]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7,161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5,863</w:t>
            </w:r>
          </w:p>
        </w:tc>
      </w:tr>
      <w:tr>
        <w:trPr>
          <w:trHeight w:val="72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Size of Feature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[-1.20, -0.22]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7,855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7,019</w:t>
            </w:r>
          </w:p>
        </w:tc>
      </w:tr>
      <w:tr>
        <w:trPr>
          <w:trHeight w:val="72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Number of Object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[-0.56, 0.42]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7,859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7,461</w:t>
            </w:r>
          </w:p>
        </w:tc>
      </w:tr>
      <w:tr>
        <w:trPr>
          <w:trHeight w:val="72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Number of Feature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[-0.81, 0.19]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8,119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6,635</w:t>
            </w:r>
          </w:p>
        </w:tc>
      </w:tr>
      <w:tr>
        <w:trPr>
          <w:trHeight w:val="72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Age*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[0.34, 1.09]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6,586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6,280</w:t>
            </w:r>
          </w:p>
        </w:tc>
      </w:tr>
      <w:tr>
        <w:trPr>
          <w:trHeight w:val="72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Trial*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[0.06, 0.37]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12,182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7,945</w:t>
            </w:r>
          </w:p>
        </w:tc>
      </w:tr>
      <w:tr>
        <w:trPr>
          <w:trHeight w:val="72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Sex (Male)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[-0.57, 0.20]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8,353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7,734</w:t>
            </w:r>
          </w:p>
        </w:tc>
      </w:tr>
      <w:tr>
        <w:trPr>
          <w:trHeight w:val="72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Size of Feature × Age*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[-0.98, -0.03]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7,251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6,897</w:t>
            </w:r>
          </w:p>
        </w:tc>
      </w:tr>
      <w:tr>
        <w:trPr>
          <w:trHeight w:val="72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Number of Object × Age*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[-0.47, 0.49]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6,793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6,483</w:t>
            </w:r>
          </w:p>
        </w:tc>
      </w:tr>
      <w:tr>
        <w:trPr>
          <w:trHeight w:val="72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Number of Feature × Age*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[-0.76, 0.21]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7,445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7,168</w:t>
            </w:r>
          </w:p>
        </w:tc>
      </w:tr>
      <w:tr>
        <w:trPr>
          <w:trHeight w:val="72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Random Effects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72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Item Intercept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[0.02, 0.44]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3,252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3,250</w:t>
            </w:r>
          </w:p>
        </w:tc>
      </w:tr>
      <w:tr>
        <w:trPr>
          <w:trHeight w:val="72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Item × Age Slope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[0.03, 0.45]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3,196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3,365</w:t>
            </w:r>
          </w:p>
        </w:tc>
      </w:tr>
      <w:tr>
        <w:trPr>
          <w:trHeight w:val="72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Subject Intercept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[0.54, 0.94]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4,031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5,630</w:t>
            </w:r>
          </w:p>
        </w:tc>
      </w:tr>
      <w:tr>
        <w:trPr>
          <w:trHeight w:val="72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Subject × Trial slope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[0.18, 0.62]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2,907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2,870</w:t>
            </w:r>
          </w:p>
        </w:tc>
      </w:tr>
      <w:tr>
        <w:trPr>
          <w:trHeight w:val="72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Correlation: Item Intercept &amp; Age Slope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[-0.57, 0.99]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4,265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4,116</w:t>
            </w:r>
          </w:p>
        </w:tc>
      </w:tr>
      <w:tr>
        <w:trPr>
          <w:trHeight w:val="736" w:hRule="auto"/>
        </w:trPr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Correlation: Subject Intercept &amp; Trial Slope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0.16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0.26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0.26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[-0.36, 0.66]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4,836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4,585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Note. Estimates represent posterior means with 95% equal-tailed credible intervals (CrIs). MAD indicates Median Absolute Deviation. ESS refers to effective sample size. R̂ values omitted as they are all ~1 indicating convergence.  * = variables were standardized.</w:t>
            </w:r>
          </w:p>
        </w:tc>
      </w:tr>
    </w:tbl>
    <w:p>
      <w:r>
        <w:br w:type="page"/>
      </w:r>
    </w:p>
    <w:p>
      <w:pPr>
        <w:pStyle w:val="CaptionedFigure"/>
      </w:pPr>
      <w:r>
        <w:drawing>
          <wp:inline>
            <wp:extent cx="5730240" cy="6886278"/>
            <wp:effectExtent b="0" l="0" r="0" t="0"/>
            <wp:docPr descr="Figure 3: Item-Level Random Intercepts by Condition." title="" id="49" name="Picture"/>
            <a:graphic>
              <a:graphicData uri="http://schemas.openxmlformats.org/drawingml/2006/picture">
                <pic:pic>
                  <pic:nvPicPr>
                    <pic:cNvPr descr="symlit_rep_supplement_revision_2_files/c29f6a026b5dca37dc7ee0233fbb46d8eb4a4b5b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68862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bookmarkStart w:id="51" w:name="fig:plot-study123itemintercepts"/>
      <w:bookmarkEnd w:id="51"/>
      <w:r>
        <w:rPr>
          <w:i/>
          <w:iCs/>
        </w:rPr>
        <w:t xml:space="preserve">Figure</w:t>
      </w:r>
      <w:r>
        <w:t xml:space="preserve"> </w:t>
      </w:r>
      <w:r>
        <w:t xml:space="preserve">3.</w:t>
      </w:r>
      <w:r>
        <w:t xml:space="preserve"> </w:t>
      </w:r>
      <w:r>
        <w:rPr>
          <w:i/>
          <w:iCs/>
        </w:rPr>
        <w:t xml:space="preserve">Item-Level Random Intercepts by Condition.</w:t>
      </w:r>
    </w:p>
    <w:bookmarkEnd w:id="52"/>
    <w:bookmarkEnd w:id="53"/>
    <w:sectPr w:rsidR="005A55BB" w:rsidRPr="00BF4B6B" w:rsidSect="00084144">
      <w:headerReference r:id="rId8" w:type="even"/>
      <w:headerReference r:id="rId9" w:type="default"/>
      <w:headerReference r:id="rId10" w:type="first"/>
      <w:pgSz w:h="15840" w:w="12240"/>
      <w:pgMar w:bottom="1134" w:footer="720" w:gutter="0" w:header="720" w:left="1417" w:right="1417" w:top="1417"/>
      <w:cols w:space="720"/>
      <w:titlePg/>
      <w:docGrid w:linePitch="326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E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rPr>
        <w:rStyle w:val="Seitenzahl"/>
      </w:rPr>
      <w:id w:val="509259971"/>
      <w:docPartObj>
        <w:docPartGallery w:val="Page Numbers (Top of Page)"/>
        <w:docPartUnique/>
      </w:docPartObj>
    </w:sdtPr>
    <w:sdtEndPr>
      <w:rPr>
        <w:rStyle w:val="Seitenzahl"/>
      </w:rPr>
    </w:sdtEndPr>
    <w:sdtContent>
      <w:p w:rsidR="00AF36ED" w:rsidRDefault="00E753DB" w:rsidP="00EE504E">
        <w:pPr>
          <w:pStyle w:val="Kopfzeile"/>
          <w:framePr w:wrap="none" w:vAnchor="text" w:hAnchor="margin" w:xAlign="right" w:y="1"/>
          <w:rPr>
            <w:rStyle w:val="Seitenzahl"/>
          </w:rPr>
        </w:pPr>
        <w:r>
          <w:rPr>
            <w:rStyle w:val="Seitenzahl"/>
          </w:rPr>
          <w:fldChar w:fldCharType="begin"/>
        </w:r>
        <w:r>
          <w:rPr>
            <w:rStyle w:val="Seitenzahl"/>
          </w:rPr>
          <w:instrText xml:space="preserve"> PAGE </w:instrText>
        </w:r>
        <w:r>
          <w:rPr>
            <w:rStyle w:val="Seitenzahl"/>
          </w:rPr>
          <w:fldChar w:fldCharType="end"/>
        </w:r>
      </w:p>
    </w:sdtContent>
  </w:sdt>
  <w:p w:rsidR="00AF36ED" w:rsidRDefault="003756FC" w:rsidP="00AF36ED">
    <w:pPr>
      <w:pStyle w:val="Kopfzeile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rPr>
        <w:rStyle w:val="Seitenzahl"/>
      </w:rPr>
      <w:id w:val="-1922177194"/>
      <w:docPartObj>
        <w:docPartGallery w:val="Page Numbers (Top of Page)"/>
        <w:docPartUnique/>
      </w:docPartObj>
    </w:sdtPr>
    <w:sdtEndPr>
      <w:rPr>
        <w:rStyle w:val="Seitenzahl"/>
      </w:rPr>
    </w:sdtEndPr>
    <w:sdtContent>
      <w:p w:rsidR="00AF36ED" w:rsidRDefault="00E753DB" w:rsidP="00EE504E">
        <w:pPr>
          <w:pStyle w:val="Kopfzeile"/>
          <w:framePr w:wrap="none" w:vAnchor="text" w:hAnchor="margin" w:xAlign="right" w:y="1"/>
          <w:rPr>
            <w:rStyle w:val="Seitenzahl"/>
          </w:rPr>
        </w:pPr>
        <w:r>
          <w:rPr>
            <w:rStyle w:val="Seitenzahl"/>
          </w:rPr>
          <w:fldChar w:fldCharType="begin"/>
        </w:r>
        <w:r>
          <w:rPr>
            <w:rStyle w:val="Seitenzahl"/>
          </w:rPr>
          <w:instrText xml:space="preserve"> PAGE </w:instrText>
        </w:r>
        <w:r>
          <w:rPr>
            <w:rStyle w:val="Seitenzahl"/>
          </w:rPr>
          <w:fldChar w:fldCharType="separate"/>
        </w:r>
        <w:r>
          <w:rPr>
            <w:rStyle w:val="Seitenzahl"/>
            <w:noProof/>
          </w:rPr>
          <w:t>1</w:t>
        </w:r>
        <w:r>
          <w:rPr>
            <w:rStyle w:val="Seitenzahl"/>
          </w:rPr>
          <w:fldChar w:fldCharType="end"/>
        </w:r>
      </w:p>
    </w:sdtContent>
  </w:sdt>
  <w:p w:rsidR="00AF36ED" w:rsidRPr="00A05772" w:rsidRDefault="00693388" w:rsidP="00693388">
    <w:pPr>
      <w:pStyle w:val="Kopfzeile"/>
      <w:ind w:right="360"/>
    </w:pPr>
    <w:r>
      <w:t>SUPPLEMENTARY MATERIAL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rPr>
        <w:rStyle w:val="Seitenzahl"/>
      </w:rPr>
      <w:id w:val="1389921216"/>
      <w:docPartObj>
        <w:docPartGallery w:val="Page Numbers (Top of Page)"/>
        <w:docPartUnique/>
      </w:docPartObj>
    </w:sdtPr>
    <w:sdtEndPr>
      <w:rPr>
        <w:rStyle w:val="Seitenzahl"/>
      </w:rPr>
    </w:sdtEndPr>
    <w:sdtContent>
      <w:p w:rsidR="00DA0F6A" w:rsidRDefault="00E753DB" w:rsidP="00DF7CFE">
        <w:pPr>
          <w:pStyle w:val="Kopfzeile"/>
          <w:framePr w:wrap="none" w:vAnchor="text" w:hAnchor="margin" w:xAlign="right" w:y="1"/>
          <w:rPr>
            <w:rStyle w:val="Seitenzahl"/>
          </w:rPr>
        </w:pPr>
        <w:r>
          <w:rPr>
            <w:rStyle w:val="Seitenzahl"/>
          </w:rPr>
          <w:fldChar w:fldCharType="begin"/>
        </w:r>
        <w:r>
          <w:rPr>
            <w:rStyle w:val="Seitenzahl"/>
          </w:rPr>
          <w:instrText xml:space="preserve"> PAGE </w:instrText>
        </w:r>
        <w:r>
          <w:rPr>
            <w:rStyle w:val="Seitenzahl"/>
          </w:rPr>
          <w:fldChar w:fldCharType="separate"/>
        </w:r>
        <w:r>
          <w:rPr>
            <w:rStyle w:val="Seitenzahl"/>
            <w:noProof/>
          </w:rPr>
          <w:t>1</w:t>
        </w:r>
        <w:r>
          <w:rPr>
            <w:rStyle w:val="Seitenzahl"/>
          </w:rPr>
          <w:fldChar w:fldCharType="end"/>
        </w:r>
      </w:p>
    </w:sdtContent>
  </w:sdt>
  <w:p w:rsidR="00CB20D0" w:rsidRPr="00A05772" w:rsidRDefault="00E753DB" w:rsidP="00084144">
    <w:pPr>
      <w:pStyle w:val="Kopfzeile"/>
      <w:ind w:right="360"/>
    </w:pPr>
    <w:r>
      <w:t xml:space="preserve">Running head: </w:t>
    </w:r>
    <w:r w:rsidR="00CF1051">
      <w:t>SUPPLEMENTARY MATERIAL</w: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p14">
  <w:abstractNum w15:restartNumberingAfterBreak="0" w:abstractNumId="0">
    <w:nsid w:val="EA454B4C"/>
    <w:multiLevelType w:val="multilevel"/>
    <w:tmpl w:val="9E9C40B6"/>
    <w:lvl w:ilvl="0">
      <w:numFmt w:val="bullet"/>
      <w:lvlText w:val="•"/>
      <w:lvlJc w:val="left"/>
      <w:pPr>
        <w:tabs>
          <w:tab w:pos="0" w:val="num"/>
        </w:tabs>
        <w:ind w:hanging="480" w:left="480"/>
      </w:pPr>
    </w:lvl>
    <w:lvl w:ilvl="1">
      <w:numFmt w:val="bullet"/>
      <w:lvlText w:val="–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•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–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•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–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•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–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•"/>
      <w:lvlJc w:val="left"/>
      <w:pPr>
        <w:tabs>
          <w:tab w:pos="5760" w:val="num"/>
        </w:tabs>
        <w:ind w:hanging="480" w:left="6240"/>
      </w:pPr>
    </w:lvl>
  </w:abstractNum>
  <w:abstractNum w15:restartNumberingAfterBreak="0" w:abstractNumId="1">
    <w:nsid w:val="FFFFFF7C"/>
    <w:multiLevelType w:val="singleLevel"/>
    <w:tmpl w:val="1994828C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2">
    <w:nsid w:val="FFFFFF7D"/>
    <w:multiLevelType w:val="singleLevel"/>
    <w:tmpl w:val="B2EC9CA4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3">
    <w:nsid w:val="FFFFFF7E"/>
    <w:multiLevelType w:val="singleLevel"/>
    <w:tmpl w:val="AC524346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4">
    <w:nsid w:val="FFFFFF7F"/>
    <w:multiLevelType w:val="singleLevel"/>
    <w:tmpl w:val="327C1EF2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5">
    <w:nsid w:val="FFFFFF80"/>
    <w:multiLevelType w:val="singleLevel"/>
    <w:tmpl w:val="7EFC042E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6">
    <w:nsid w:val="FFFFFF81"/>
    <w:multiLevelType w:val="singleLevel"/>
    <w:tmpl w:val="D218727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7">
    <w:nsid w:val="FFFFFF82"/>
    <w:multiLevelType w:val="singleLevel"/>
    <w:tmpl w:val="24C04FB0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8">
    <w:nsid w:val="FFFFFF83"/>
    <w:multiLevelType w:val="singleLevel"/>
    <w:tmpl w:val="92566E9E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9">
    <w:nsid w:val="FFFFFF88"/>
    <w:multiLevelType w:val="singleLevel"/>
    <w:tmpl w:val="9DF67442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10">
    <w:nsid w:val="FFFFFF89"/>
    <w:multiLevelType w:val="singleLevel"/>
    <w:tmpl w:val="1D1E8ADA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1">
    <w:nsid w:val="0000A990"/>
    <w:multiLevelType w:val="multilevel"/>
    <w:tmpl w:val="A4F4C56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2">
    <w:nsid w:val="0000A991"/>
    <w:multiLevelType w:val="multilevel"/>
    <w:tmpl w:val="A94A0332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3">
    <w:nsid w:val="170CD2DE"/>
    <w:multiLevelType w:val="multilevel"/>
    <w:tmpl w:val="9FD2E3F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15:restartNumberingAfterBreak="0" w:abstractNumId="14">
    <w:nsid w:val="2C1AE401"/>
    <w:multiLevelType w:val="multilevel"/>
    <w:tmpl w:val="63C869CA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13"/>
  </w:num>
  <w:num w:numId="2">
    <w:abstractNumId w:val="13"/>
  </w:num>
  <w:num w:numId="3">
    <w:abstractNumId w:val="14"/>
  </w:num>
  <w:num w:numId="4">
    <w:abstractNumId w:val="1"/>
  </w:num>
  <w:num w:numId="5">
    <w:abstractNumId w:val="2"/>
  </w:num>
  <w:num w:numId="6">
    <w:abstractNumId w:val="3"/>
  </w:num>
  <w:num w:numId="7">
    <w:abstractNumId w:val="4"/>
  </w:num>
  <w:num w:numId="8">
    <w:abstractNumId w:val="9"/>
  </w:num>
  <w:num w:numId="9">
    <w:abstractNumId w:val="5"/>
  </w:num>
  <w:num w:numId="10">
    <w:abstractNumId w:val="6"/>
  </w:num>
  <w:num w:numId="11">
    <w:abstractNumId w:val="7"/>
  </w:num>
  <w:num w:numId="12">
    <w:abstractNumId w:val="8"/>
  </w:num>
  <w:num w:numId="13">
    <w:abstractNumId w:val="10"/>
  </w:num>
  <w:num w:numId="14">
    <w:abstractNumId w:val="14"/>
  </w:num>
  <w:num w:numId="15">
    <w:abstractNumId w:val="0"/>
  </w:num>
  <w:num w:numId="16">
    <w:abstractNumId w:val="0"/>
  </w:num>
  <w:num w:numId="17">
    <w:abstractNumId w:val="11"/>
  </w:num>
  <w:num w:numId="18">
    <w:abstractNumId w:val="12"/>
  </w:num>
  <w:num w:numId="19">
    <w:abstractNumId w:val="11"/>
  </w:num>
  <w:num w:numId="20">
    <w:abstractNumId w:val="12"/>
  </w:num>
  <w:num w:numId="21">
    <w:abstractNumId w:val="11"/>
  </w:num>
  <w:num w:numId="22">
    <w:abstractNumId w:val="12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D44B0"/>
    <w:rsid w:val="00084144"/>
    <w:rsid w:val="00313569"/>
    <w:rsid w:val="00352BA1"/>
    <w:rsid w:val="003756FC"/>
    <w:rsid w:val="003D44B0"/>
    <w:rsid w:val="00435F1A"/>
    <w:rsid w:val="00472128"/>
    <w:rsid w:val="00506818"/>
    <w:rsid w:val="005A55BB"/>
    <w:rsid w:val="006373B0"/>
    <w:rsid w:val="00693388"/>
    <w:rsid w:val="006E6812"/>
    <w:rsid w:val="00871062"/>
    <w:rsid w:val="009E05DE"/>
    <w:rsid w:val="00BF4B6B"/>
    <w:rsid w:val="00CF1051"/>
    <w:rsid w:val="00E634E8"/>
    <w:rsid w:val="00E753DB"/>
    <w:rsid w:val="00EB1F7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5" w:defLockedState="0" w:defQFormat="0" w:defSemiHidden="0" w:defUIPriority="0" w:defUnhideWhenUsed="0">
    <w:lsdException w:name="heading 6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3" w:semiHidden="1" w:unhideWhenUsed="1"/>
    <w:lsdException w:name="List Bullet 4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default="1" w:styleId="Standard" w:type="paragraph">
    <w:name w:val="Normal"/>
    <w:qFormat/>
    <w:rsid w:val="00572FF5"/>
    <w:pPr>
      <w:spacing w:after="240" w:before="120" w:line="480" w:lineRule="auto"/>
    </w:pPr>
    <w:rPr>
      <w:rFonts w:ascii="Times New Roman" w:hAnsi="Times New Roman"/>
    </w:rPr>
  </w:style>
  <w:style w:styleId="berschrift1" w:type="paragraph">
    <w:name w:val="heading 1"/>
    <w:basedOn w:val="Standard"/>
    <w:next w:val="Textkrper"/>
    <w:uiPriority w:val="9"/>
    <w:qFormat/>
    <w:rsid w:val="00572FF5"/>
    <w:pPr>
      <w:keepNext/>
      <w:keepLines/>
      <w:spacing w:after="0" w:before="480"/>
      <w:jc w:val="center"/>
      <w:outlineLvl w:val="0"/>
    </w:pPr>
    <w:rPr>
      <w:rFonts w:cstheme="majorBidi" w:eastAsiaTheme="majorEastAsia"/>
      <w:b/>
      <w:bCs/>
      <w:szCs w:val="32"/>
    </w:rPr>
  </w:style>
  <w:style w:styleId="berschrift2" w:type="paragraph">
    <w:name w:val="heading 2"/>
    <w:basedOn w:val="berschrift1"/>
    <w:next w:val="Textkrper"/>
    <w:uiPriority w:val="9"/>
    <w:unhideWhenUsed/>
    <w:qFormat/>
    <w:rsid w:val="00AB6A32"/>
    <w:pPr>
      <w:spacing w:before="200"/>
      <w:jc w:val="left"/>
      <w:outlineLvl w:val="1"/>
    </w:pPr>
    <w:rPr>
      <w:bCs w:val="0"/>
    </w:rPr>
  </w:style>
  <w:style w:styleId="berschrift3" w:type="paragraph">
    <w:name w:val="heading 3"/>
    <w:basedOn w:val="berschrift2"/>
    <w:next w:val="Standard"/>
    <w:uiPriority w:val="9"/>
    <w:unhideWhenUsed/>
    <w:qFormat/>
    <w:rsid w:val="007F2EC5"/>
    <w:pPr>
      <w:framePr w:hAnchor="text" w:vAnchor="text" w:wrap="around" w:y="1"/>
      <w:spacing w:before="0" w:line="240" w:lineRule="auto"/>
      <w:ind w:firstLine="680"/>
      <w:outlineLvl w:val="2"/>
    </w:pPr>
    <w:rPr>
      <w:bCs/>
      <w:szCs w:val="28"/>
    </w:rPr>
  </w:style>
  <w:style w:styleId="berschrift4" w:type="paragraph">
    <w:name w:val="heading 4"/>
    <w:basedOn w:val="berschrift3"/>
    <w:next w:val="Textkrper"/>
    <w:uiPriority w:val="9"/>
    <w:unhideWhenUsed/>
    <w:qFormat/>
    <w:rsid w:val="00F0724A"/>
    <w:pPr>
      <w:framePr w:wrap="around"/>
      <w:outlineLvl w:val="3"/>
    </w:pPr>
    <w:rPr>
      <w:bCs w:val="0"/>
      <w:i/>
    </w:rPr>
  </w:style>
  <w:style w:styleId="berschrift5" w:type="paragraph">
    <w:name w:val="heading 5"/>
    <w:basedOn w:val="berschrift4"/>
    <w:next w:val="Textkrper"/>
    <w:uiPriority w:val="9"/>
    <w:unhideWhenUsed/>
    <w:qFormat/>
    <w:rsid w:val="00F0724A"/>
    <w:pPr>
      <w:framePr w:wrap="around"/>
      <w:outlineLvl w:val="4"/>
    </w:pPr>
    <w:rPr>
      <w:b w:val="0"/>
      <w:iCs/>
    </w:rPr>
  </w:style>
  <w:style w:styleId="berschrift6" w:type="paragraph">
    <w:name w:val="heading 6"/>
    <w:basedOn w:val="Standard"/>
    <w:next w:val="Textkrper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</w:rPr>
  </w:style>
  <w:style w:styleId="berschrift7" w:type="paragraph">
    <w:name w:val="heading 7"/>
    <w:basedOn w:val="Standard"/>
    <w:next w:val="Textkrper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</w:rPr>
  </w:style>
  <w:style w:styleId="berschrift8" w:type="paragraph">
    <w:name w:val="heading 8"/>
    <w:basedOn w:val="Standard"/>
    <w:next w:val="Textkrper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</w:rPr>
  </w:style>
  <w:style w:styleId="berschrift9" w:type="paragraph">
    <w:name w:val="heading 9"/>
    <w:basedOn w:val="Standard"/>
    <w:next w:val="Textkrper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</w:rPr>
  </w:style>
  <w:style w:default="1" w:styleId="Absatz-Standardschriftart" w:type="character">
    <w:name w:val="Default Paragraph Font"/>
    <w:uiPriority w:val="1"/>
    <w:semiHidden/>
    <w:unhideWhenUsed/>
  </w:style>
  <w:style w:default="1" w:styleId="NormaleTabelle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KeineListe" w:type="numbering">
    <w:name w:val="No List"/>
    <w:uiPriority w:val="99"/>
    <w:semiHidden/>
    <w:unhideWhenUsed/>
  </w:style>
  <w:style w:styleId="Textkrper" w:type="paragraph">
    <w:name w:val="Body Text"/>
    <w:basedOn w:val="Standard"/>
    <w:link w:val="TextkrperZchn"/>
    <w:qFormat/>
    <w:rsid w:val="005036C4"/>
    <w:pPr>
      <w:spacing w:before="180"/>
      <w:ind w:firstLine="680"/>
    </w:pPr>
  </w:style>
  <w:style w:customStyle="1" w:styleId="FirstParagraph" w:type="paragraph">
    <w:name w:val="First Paragraph"/>
    <w:basedOn w:val="Textkrper"/>
    <w:next w:val="Textkrper"/>
    <w:qFormat/>
  </w:style>
  <w:style w:customStyle="1" w:styleId="Compact" w:type="paragraph">
    <w:name w:val="Compact"/>
    <w:basedOn w:val="Textkrper"/>
    <w:qFormat/>
    <w:rsid w:val="00AF6DE6"/>
    <w:pPr>
      <w:spacing w:after="180" w:line="240" w:lineRule="auto"/>
      <w:ind w:firstLine="0"/>
    </w:pPr>
  </w:style>
  <w:style w:styleId="Titel" w:type="paragraph">
    <w:name w:val="Title"/>
    <w:basedOn w:val="Standard"/>
    <w:next w:val="Textkrper"/>
    <w:qFormat/>
    <w:rsid w:val="00186200"/>
    <w:pPr>
      <w:keepNext/>
      <w:keepLines/>
      <w:spacing w:before="2040"/>
      <w:jc w:val="center"/>
    </w:pPr>
    <w:rPr>
      <w:rFonts w:cstheme="majorBidi" w:eastAsiaTheme="majorEastAsia"/>
      <w:bCs/>
      <w:szCs w:val="36"/>
    </w:rPr>
  </w:style>
  <w:style w:styleId="Untertitel" w:type="paragraph">
    <w:name w:val="Subtitle"/>
    <w:basedOn w:val="Titel"/>
    <w:next w:val="Textkrper"/>
    <w:qFormat/>
    <w:rsid w:val="00572FF5"/>
    <w:pPr>
      <w:spacing w:before="240"/>
    </w:pPr>
    <w:rPr>
      <w:szCs w:val="30"/>
    </w:rPr>
  </w:style>
  <w:style w:customStyle="1" w:styleId="Author" w:type="paragraph">
    <w:name w:val="Author"/>
    <w:basedOn w:val="Titel"/>
    <w:next w:val="Textkrper"/>
    <w:qFormat/>
    <w:rsid w:val="00CB20D0"/>
    <w:pPr>
      <w:spacing w:before="0"/>
    </w:pPr>
  </w:style>
  <w:style w:styleId="Datum" w:type="paragraph">
    <w:name w:val="Date"/>
    <w:next w:val="Textkrper"/>
    <w:qFormat/>
    <w:pPr>
      <w:keepNext/>
      <w:keepLines/>
      <w:jc w:val="center"/>
    </w:pPr>
  </w:style>
  <w:style w:customStyle="1" w:styleId="Abstract" w:type="paragraph">
    <w:name w:val="Abstract"/>
    <w:basedOn w:val="Standard"/>
    <w:next w:val="Textkrper"/>
    <w:qFormat/>
    <w:rsid w:val="00572FF5"/>
    <w:pPr>
      <w:keepNext/>
      <w:keepLines/>
      <w:spacing w:after="300" w:before="300"/>
    </w:pPr>
    <w:rPr>
      <w:szCs w:val="20"/>
    </w:rPr>
  </w:style>
  <w:style w:styleId="Literaturverzeichnis" w:type="paragraph">
    <w:name w:val="Bibliography"/>
    <w:aliases w:val="refs"/>
    <w:basedOn w:val="Standard"/>
    <w:qFormat/>
    <w:rsid w:val="00572FF5"/>
    <w:pPr>
      <w:ind w:hanging="680" w:left="680"/>
    </w:pPr>
  </w:style>
  <w:style w:styleId="Blocktext" w:type="paragraph">
    <w:name w:val="Block Text"/>
    <w:basedOn w:val="Textkrper"/>
    <w:next w:val="Textkrper"/>
    <w:uiPriority w:val="9"/>
    <w:unhideWhenUsed/>
    <w:qFormat/>
    <w:pPr>
      <w:spacing w:after="100" w:before="100"/>
    </w:pPr>
    <w:rPr>
      <w:rFonts w:asciiTheme="majorHAnsi" w:cstheme="majorBidi" w:eastAsiaTheme="majorEastAsia" w:hAnsiTheme="majorHAnsi"/>
      <w:bCs/>
      <w:sz w:val="20"/>
      <w:szCs w:val="20"/>
    </w:rPr>
  </w:style>
  <w:style w:styleId="Funotentext" w:type="paragraph">
    <w:name w:val="footnote text"/>
    <w:basedOn w:val="Standard"/>
    <w:uiPriority w:val="9"/>
    <w:unhideWhenUsed/>
    <w:qFormat/>
    <w:rsid w:val="00925AA9"/>
    <w:pPr>
      <w:suppressLineNumbers/>
      <w:spacing w:before="0"/>
    </w:pPr>
  </w:style>
  <w:style w:customStyle="1" w:styleId="Table" w:type="table">
    <w:name w:val="Table"/>
    <w:basedOn w:val="NormaleTabelle"/>
    <w:uiPriority w:val="99"/>
    <w:rsid w:val="00435F1A"/>
    <w:pPr>
      <w:suppressLineNumbers/>
      <w:spacing w:after="240"/>
    </w:pPr>
    <w:rPr>
      <w:rFonts w:ascii="Times New Roman" w:hAnsi="Times New Roman"/>
    </w:rPr>
    <w:tblPr>
      <w:jc w:val="center"/>
      <w:tblBorders>
        <w:top w:color="auto" w:space="0" w:sz="12" w:val="single"/>
        <w:bottom w:color="auto" w:space="0" w:sz="4" w:val="single"/>
      </w:tblBorders>
    </w:tblPr>
    <w:trPr>
      <w:jc w:val="center"/>
    </w:trPr>
    <w:tcPr>
      <w:vAlign w:val="center"/>
    </w:tcPr>
    <w:tblStylePr w:type="firstRow">
      <w:tblPr/>
      <w:tcPr>
        <w:tcBorders>
          <w:top w:color="auto" w:space="0" w:sz="8" w:val="single"/>
          <w:bottom w:color="auto" w:space="0" w:sz="4" w:val="single"/>
        </w:tcBorders>
      </w:tcPr>
    </w:tblStylePr>
    <w:tblStylePr w:type="lastRow">
      <w:tblPr/>
      <w:tcPr>
        <w:tcBorders>
          <w:bottom w:color="auto" w:space="0" w:sz="4" w:val="single"/>
        </w:tcBorders>
      </w:tcPr>
    </w:tblStylePr>
  </w:style>
  <w:style w:customStyle="1" w:styleId="DefinitionTerm" w:type="paragraph">
    <w:name w:val="Definition Term"/>
    <w:basedOn w:val="Standard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Standard"/>
  </w:style>
  <w:style w:styleId="Beschriftung" w:type="paragraph">
    <w:name w:val="caption"/>
    <w:basedOn w:val="Standard"/>
    <w:link w:val="BeschriftungZchn"/>
    <w:pPr>
      <w:spacing w:after="120"/>
    </w:pPr>
    <w:rPr>
      <w:i/>
    </w:rPr>
  </w:style>
  <w:style w:customStyle="1" w:styleId="TableCaption" w:type="paragraph">
    <w:name w:val="Table Caption"/>
    <w:basedOn w:val="Beschriftung"/>
    <w:rsid w:val="006E6812"/>
    <w:pPr>
      <w:keepNext/>
      <w:suppressLineNumbers/>
      <w:spacing w:before="240"/>
    </w:pPr>
    <w:rPr>
      <w:i w:val="0"/>
    </w:rPr>
  </w:style>
  <w:style w:customStyle="1" w:styleId="ImageCaption" w:type="paragraph">
    <w:name w:val="Image Caption"/>
    <w:basedOn w:val="Beschriftung"/>
    <w:rsid w:val="009E05DE"/>
    <w:pPr>
      <w:keepLines/>
      <w:suppressLineNumbers/>
      <w:spacing w:after="600"/>
    </w:pPr>
    <w:rPr>
      <w:i w:val="0"/>
    </w:rPr>
  </w:style>
  <w:style w:customStyle="1" w:styleId="Figure" w:type="paragraph">
    <w:name w:val="Figure"/>
    <w:basedOn w:val="Standard"/>
    <w:rsid w:val="003D36D1"/>
    <w:pPr>
      <w:framePr w:hAnchor="text" w:vAnchor="text" w:wrap="notBeside" w:xAlign="center" w:y="1"/>
      <w:suppressLineNumbers/>
      <w:jc w:val="center"/>
    </w:pPr>
  </w:style>
  <w:style w:customStyle="1" w:styleId="CaptionedFigure" w:type="paragraph">
    <w:name w:val="Captioned Figure"/>
    <w:basedOn w:val="Figure"/>
    <w:rsid w:val="003D36D1"/>
    <w:pPr>
      <w:keepNext/>
      <w:framePr w:wrap="notBeside"/>
      <w:spacing w:after="120" w:before="240"/>
    </w:pPr>
  </w:style>
  <w:style w:customStyle="1" w:styleId="BeschriftungZchn" w:type="character">
    <w:name w:val="Beschriftung Zchn"/>
    <w:basedOn w:val="Absatz-Standardschriftart"/>
    <w:link w:val="Beschriftung"/>
  </w:style>
  <w:style w:customStyle="1" w:styleId="VerbatimChar" w:type="character">
    <w:name w:val="Verbatim Char"/>
    <w:basedOn w:val="BeschriftungZchn"/>
    <w:link w:val="SourceCode"/>
    <w:rPr>
      <w:rFonts w:ascii="Consolas" w:hAnsi="Consolas"/>
      <w:sz w:val="22"/>
    </w:rPr>
  </w:style>
  <w:style w:styleId="Funotenzeichen" w:type="character">
    <w:name w:val="footnote reference"/>
    <w:basedOn w:val="BeschriftungZchn"/>
    <w:rPr>
      <w:vertAlign w:val="superscript"/>
    </w:rPr>
  </w:style>
  <w:style w:styleId="Hyperlink" w:type="character">
    <w:name w:val="Hyperlink"/>
    <w:basedOn w:val="BeschriftungZchn"/>
    <w:rPr>
      <w:color w:themeColor="accent1" w:val="4F81BD"/>
    </w:rPr>
  </w:style>
  <w:style w:styleId="Inhaltsverzeichnisberschrift" w:type="paragraph">
    <w:name w:val="TOC Heading"/>
    <w:basedOn w:val="berschrift1"/>
    <w:next w:val="Textkrper"/>
    <w:uiPriority w:val="39"/>
    <w:unhideWhenUsed/>
    <w:qFormat/>
    <w:rsid w:val="00006D3F"/>
    <w:pPr>
      <w:spacing w:after="240" w:before="240"/>
      <w:outlineLvl w:val="9"/>
    </w:pPr>
    <w:rPr>
      <w:bCs w:val="0"/>
    </w:rPr>
  </w:style>
  <w:style w:customStyle="1" w:styleId="SourceCode" w:type="paragraph">
    <w:name w:val="Source Code"/>
    <w:basedOn w:val="Standard"/>
    <w:link w:val="VerbatimChar"/>
    <w:pPr>
      <w:shd w:color="auto" w:fill="F8F8F8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204A87"/>
      <w:sz w:val="22"/>
      <w:shd w:color="auto" w:fill="F8F8F8" w:val="clear"/>
    </w:rPr>
  </w:style>
  <w:style w:customStyle="1" w:styleId="DataTypeTok" w:type="character">
    <w:name w:val="DataTypeTok"/>
    <w:basedOn w:val="VerbatimChar"/>
    <w:rPr>
      <w:rFonts w:ascii="Consolas" w:hAnsi="Consolas"/>
      <w:color w:val="204A87"/>
      <w:sz w:val="22"/>
      <w:shd w:color="auto" w:fill="F8F8F8" w:val="clear"/>
    </w:rPr>
  </w:style>
  <w:style w:customStyle="1" w:styleId="DecValTok" w:type="character">
    <w:name w:val="DecValTok"/>
    <w:basedOn w:val="VerbatimChar"/>
    <w:rPr>
      <w:rFonts w:ascii="Consolas" w:hAnsi="Consolas"/>
      <w:color w:val="0000CF"/>
      <w:sz w:val="22"/>
      <w:shd w:color="auto" w:fill="F8F8F8" w:val="clear"/>
    </w:rPr>
  </w:style>
  <w:style w:customStyle="1" w:styleId="BaseNTok" w:type="character">
    <w:name w:val="BaseNTok"/>
    <w:basedOn w:val="VerbatimChar"/>
    <w:rPr>
      <w:rFonts w:ascii="Consolas" w:hAnsi="Consolas"/>
      <w:color w:val="0000CF"/>
      <w:sz w:val="22"/>
      <w:shd w:color="auto" w:fill="F8F8F8" w:val="clear"/>
    </w:rPr>
  </w:style>
  <w:style w:customStyle="1" w:styleId="FloatTok" w:type="character">
    <w:name w:val="FloatTok"/>
    <w:basedOn w:val="VerbatimChar"/>
    <w:rPr>
      <w:rFonts w:ascii="Consolas" w:hAnsi="Consolas"/>
      <w:color w:val="0000CF"/>
      <w:sz w:val="22"/>
      <w:shd w:color="auto" w:fill="F8F8F8" w:val="clear"/>
    </w:rPr>
  </w:style>
  <w:style w:customStyle="1" w:styleId="ConstantTok" w:type="character">
    <w:name w:val="ConstantTok"/>
    <w:basedOn w:val="VerbatimChar"/>
    <w:rPr>
      <w:rFonts w:ascii="Consolas" w:hAnsi="Consolas"/>
      <w:color w:val="000000"/>
      <w:sz w:val="22"/>
      <w:shd w:color="auto" w:fill="F8F8F8" w:val="clear"/>
    </w:rPr>
  </w:style>
  <w:style w:customStyle="1" w:styleId="CharTok" w:type="character">
    <w:name w:val="CharTok"/>
    <w:basedOn w:val="VerbatimChar"/>
    <w:rPr>
      <w:rFonts w:ascii="Consolas" w:hAnsi="Consolas"/>
      <w:color w:val="4E9A06"/>
      <w:sz w:val="22"/>
      <w:shd w:color="auto" w:fill="F8F8F8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000000"/>
      <w:sz w:val="22"/>
      <w:shd w:color="auto" w:fill="F8F8F8" w:val="clear"/>
    </w:rPr>
  </w:style>
  <w:style w:customStyle="1" w:styleId="StringTok" w:type="character">
    <w:name w:val="StringTok"/>
    <w:basedOn w:val="VerbatimChar"/>
    <w:rPr>
      <w:rFonts w:ascii="Consolas" w:hAnsi="Consolas"/>
      <w:color w:val="4E9A06"/>
      <w:sz w:val="22"/>
      <w:shd w:color="auto" w:fill="F8F8F8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4E9A06"/>
      <w:sz w:val="22"/>
      <w:shd w:color="auto" w:fill="F8F8F8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4E9A06"/>
      <w:sz w:val="22"/>
      <w:shd w:color="auto" w:fill="F8F8F8" w:val="clear"/>
    </w:rPr>
  </w:style>
  <w:style w:customStyle="1" w:styleId="ImportTok" w:type="character">
    <w:name w:val="ImportTok"/>
    <w:basedOn w:val="VerbatimChar"/>
    <w:rPr>
      <w:rFonts w:ascii="Consolas" w:hAnsi="Consolas"/>
      <w:sz w:val="22"/>
      <w:shd w:color="auto" w:fill="F8F8F8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8F5902"/>
      <w:sz w:val="22"/>
      <w:shd w:color="auto" w:fill="F8F8F8" w:val="clear"/>
    </w:rPr>
  </w:style>
  <w:style w:customStyle="1" w:styleId="DocumentationTok" w:type="character">
    <w:name w:val="DocumentationTok"/>
    <w:basedOn w:val="VerbatimChar"/>
    <w:rPr>
      <w:rFonts w:ascii="Consolas" w:hAnsi="Consolas"/>
      <w:b/>
      <w:i/>
      <w:color w:val="8F5902"/>
      <w:sz w:val="22"/>
      <w:shd w:color="auto" w:fill="F8F8F8" w:val="clear"/>
    </w:rPr>
  </w:style>
  <w:style w:customStyle="1" w:styleId="AnnotationTok" w:type="character">
    <w:name w:val="AnnotationTok"/>
    <w:basedOn w:val="VerbatimChar"/>
    <w:rPr>
      <w:rFonts w:ascii="Consolas" w:hAnsi="Consolas"/>
      <w:b/>
      <w:i/>
      <w:color w:val="8F5902"/>
      <w:sz w:val="22"/>
      <w:shd w:color="auto" w:fill="F8F8F8" w:val="clear"/>
    </w:rPr>
  </w:style>
  <w:style w:customStyle="1" w:styleId="CommentVarTok" w:type="character">
    <w:name w:val="CommentVarTok"/>
    <w:basedOn w:val="VerbatimChar"/>
    <w:rPr>
      <w:rFonts w:ascii="Consolas" w:hAnsi="Consolas"/>
      <w:b/>
      <w:i/>
      <w:color w:val="8F5902"/>
      <w:sz w:val="22"/>
      <w:shd w:color="auto" w:fill="F8F8F8" w:val="clear"/>
    </w:rPr>
  </w:style>
  <w:style w:customStyle="1" w:styleId="OtherTok" w:type="character">
    <w:name w:val="OtherTok"/>
    <w:basedOn w:val="VerbatimChar"/>
    <w:rPr>
      <w:rFonts w:ascii="Consolas" w:hAnsi="Consolas"/>
      <w:color w:val="8F5902"/>
      <w:sz w:val="22"/>
      <w:shd w:color="auto" w:fill="F8F8F8" w:val="clear"/>
    </w:rPr>
  </w:style>
  <w:style w:customStyle="1" w:styleId="FunctionTok" w:type="character">
    <w:name w:val="FunctionTok"/>
    <w:basedOn w:val="VerbatimChar"/>
    <w:rPr>
      <w:rFonts w:ascii="Consolas" w:hAnsi="Consolas"/>
      <w:color w:val="000000"/>
      <w:sz w:val="22"/>
      <w:shd w:color="auto" w:fill="F8F8F8" w:val="clear"/>
    </w:rPr>
  </w:style>
  <w:style w:customStyle="1" w:styleId="VariableTok" w:type="character">
    <w:name w:val="VariableTok"/>
    <w:basedOn w:val="VerbatimChar"/>
    <w:rPr>
      <w:rFonts w:ascii="Consolas" w:hAnsi="Consolas"/>
      <w:color w:val="000000"/>
      <w:sz w:val="22"/>
      <w:shd w:color="auto" w:fill="F8F8F8" w:val="clear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204A87"/>
      <w:sz w:val="22"/>
      <w:shd w:color="auto" w:fill="F8F8F8" w:val="clear"/>
    </w:rPr>
  </w:style>
  <w:style w:customStyle="1" w:styleId="OperatorTok" w:type="character">
    <w:name w:val="OperatorTok"/>
    <w:basedOn w:val="VerbatimChar"/>
    <w:rPr>
      <w:rFonts w:ascii="Consolas" w:hAnsi="Consolas"/>
      <w:b/>
      <w:color w:val="CE5C00"/>
      <w:sz w:val="22"/>
      <w:shd w:color="auto" w:fill="F8F8F8" w:val="clear"/>
    </w:rPr>
  </w:style>
  <w:style w:customStyle="1" w:styleId="BuiltInTok" w:type="character">
    <w:name w:val="BuiltInTok"/>
    <w:basedOn w:val="VerbatimChar"/>
    <w:rPr>
      <w:rFonts w:ascii="Consolas" w:hAnsi="Consolas"/>
      <w:sz w:val="22"/>
      <w:shd w:color="auto" w:fill="F8F8F8" w:val="clear"/>
    </w:rPr>
  </w:style>
  <w:style w:customStyle="1" w:styleId="ExtensionTok" w:type="character">
    <w:name w:val="ExtensionTok"/>
    <w:basedOn w:val="VerbatimChar"/>
    <w:rPr>
      <w:rFonts w:ascii="Consolas" w:hAnsi="Consolas"/>
      <w:sz w:val="22"/>
      <w:shd w:color="auto" w:fill="F8F8F8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8F5902"/>
      <w:sz w:val="22"/>
      <w:shd w:color="auto" w:fill="F8F8F8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C4A000"/>
      <w:sz w:val="22"/>
      <w:shd w:color="auto" w:fill="F8F8F8" w:val="clear"/>
    </w:rPr>
  </w:style>
  <w:style w:customStyle="1" w:styleId="RegionMarkerTok" w:type="character">
    <w:name w:val="RegionMarkerTok"/>
    <w:basedOn w:val="VerbatimChar"/>
    <w:rPr>
      <w:rFonts w:ascii="Consolas" w:hAnsi="Consolas"/>
      <w:sz w:val="22"/>
      <w:shd w:color="auto" w:fill="F8F8F8" w:val="clear"/>
    </w:rPr>
  </w:style>
  <w:style w:customStyle="1" w:styleId="InformationTok" w:type="character">
    <w:name w:val="InformationTok"/>
    <w:basedOn w:val="VerbatimChar"/>
    <w:rPr>
      <w:rFonts w:ascii="Consolas" w:hAnsi="Consolas"/>
      <w:b/>
      <w:i/>
      <w:color w:val="8F5902"/>
      <w:sz w:val="22"/>
      <w:shd w:color="auto" w:fill="F8F8F8" w:val="clear"/>
    </w:rPr>
  </w:style>
  <w:style w:customStyle="1" w:styleId="WarningTok" w:type="character">
    <w:name w:val="WarningTok"/>
    <w:basedOn w:val="VerbatimChar"/>
    <w:rPr>
      <w:rFonts w:ascii="Consolas" w:hAnsi="Consolas"/>
      <w:b/>
      <w:i/>
      <w:color w:val="8F5902"/>
      <w:sz w:val="22"/>
      <w:shd w:color="auto" w:fill="F8F8F8" w:val="clear"/>
    </w:rPr>
  </w:style>
  <w:style w:customStyle="1" w:styleId="AlertTok" w:type="character">
    <w:name w:val="AlertTok"/>
    <w:basedOn w:val="VerbatimChar"/>
    <w:rPr>
      <w:rFonts w:ascii="Consolas" w:hAnsi="Consolas"/>
      <w:color w:val="EF2929"/>
      <w:sz w:val="22"/>
      <w:shd w:color="auto" w:fill="F8F8F8" w:val="clear"/>
    </w:rPr>
  </w:style>
  <w:style w:customStyle="1" w:styleId="ErrorTok" w:type="character">
    <w:name w:val="ErrorTok"/>
    <w:basedOn w:val="VerbatimChar"/>
    <w:rPr>
      <w:rFonts w:ascii="Consolas" w:hAnsi="Consolas"/>
      <w:b/>
      <w:color w:val="A40000"/>
      <w:sz w:val="22"/>
      <w:shd w:color="auto" w:fill="F8F8F8" w:val="clear"/>
    </w:rPr>
  </w:style>
  <w:style w:customStyle="1" w:styleId="NormalTok" w:type="character">
    <w:name w:val="NormalTok"/>
    <w:basedOn w:val="VerbatimChar"/>
    <w:rPr>
      <w:rFonts w:ascii="Consolas" w:hAnsi="Consolas"/>
      <w:sz w:val="22"/>
      <w:shd w:color="auto" w:fill="F8F8F8" w:val="clear"/>
    </w:rPr>
  </w:style>
  <w:style w:styleId="Kopfzeile" w:type="paragraph">
    <w:name w:val="header"/>
    <w:basedOn w:val="Standard"/>
    <w:link w:val="KopfzeileZchn"/>
    <w:uiPriority w:val="99"/>
    <w:unhideWhenUsed/>
    <w:rsid w:val="00AF36ED"/>
    <w:pPr>
      <w:tabs>
        <w:tab w:pos="4536" w:val="center"/>
        <w:tab w:pos="9072" w:val="right"/>
      </w:tabs>
      <w:spacing w:after="0"/>
    </w:pPr>
  </w:style>
  <w:style w:customStyle="1" w:styleId="KopfzeileZchn" w:type="character">
    <w:name w:val="Kopfzeile Zchn"/>
    <w:basedOn w:val="Absatz-Standardschriftart"/>
    <w:link w:val="Kopfzeile"/>
    <w:uiPriority w:val="99"/>
    <w:rsid w:val="00AF36ED"/>
  </w:style>
  <w:style w:styleId="Fuzeile" w:type="paragraph">
    <w:name w:val="footer"/>
    <w:basedOn w:val="Standard"/>
    <w:link w:val="FuzeileZchn"/>
    <w:unhideWhenUsed/>
    <w:rsid w:val="00AF36ED"/>
    <w:pPr>
      <w:tabs>
        <w:tab w:pos="4536" w:val="center"/>
        <w:tab w:pos="9072" w:val="right"/>
      </w:tabs>
      <w:spacing w:after="0"/>
    </w:pPr>
  </w:style>
  <w:style w:customStyle="1" w:styleId="FuzeileZchn" w:type="character">
    <w:name w:val="Fußzeile Zchn"/>
    <w:basedOn w:val="Absatz-Standardschriftart"/>
    <w:link w:val="Fuzeile"/>
    <w:rsid w:val="00AF36ED"/>
  </w:style>
  <w:style w:styleId="Seitenzahl" w:type="character">
    <w:name w:val="page number"/>
    <w:basedOn w:val="Absatz-Standardschriftart"/>
    <w:semiHidden/>
    <w:unhideWhenUsed/>
    <w:rsid w:val="00AF36ED"/>
  </w:style>
  <w:style w:customStyle="1" w:styleId="h1-pagebreak" w:type="paragraph">
    <w:name w:val="h1-pagebreak"/>
    <w:basedOn w:val="berschrift1"/>
    <w:qFormat/>
    <w:rsid w:val="00DD5581"/>
    <w:pPr>
      <w:pageBreakBefore/>
    </w:pPr>
    <w:rPr>
      <w:b w:val="0"/>
    </w:rPr>
  </w:style>
  <w:style w:customStyle="1" w:styleId="TextkrperZchn" w:type="character">
    <w:name w:val="Textkörper Zchn"/>
    <w:basedOn w:val="Absatz-Standardschriftart"/>
    <w:link w:val="Textkrper"/>
    <w:rsid w:val="005036C4"/>
    <w:rPr>
      <w:rFonts w:ascii="Times New Roman" w:hAnsi="Times New Roman"/>
    </w:rPr>
  </w:style>
  <w:style w:styleId="Tabellenraster" w:type="table">
    <w:name w:val="Table Grid"/>
    <w:basedOn w:val="NormaleTabelle"/>
    <w:rsid w:val="00006D3F"/>
    <w:pPr>
      <w:spacing w:after="0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Gitternetztabelle1hell" w:type="table">
    <w:name w:val="Grid Table 1 Light"/>
    <w:basedOn w:val="NormaleTabelle"/>
    <w:rsid w:val="00006D3F"/>
    <w:pPr>
      <w:spacing w:after="0"/>
    </w:pPr>
    <w:tblPr>
      <w:tblStyleRowBandSize w:val="1"/>
      <w:tblStyleColBandSize w:val="1"/>
      <w:tblBorders>
        <w:top w:color="999999" w:space="0" w:sz="4" w:themeColor="text1" w:themeTint="66" w:val="single"/>
        <w:left w:color="999999" w:space="0" w:sz="4" w:themeColor="text1" w:themeTint="66" w:val="single"/>
        <w:bottom w:color="999999" w:space="0" w:sz="4" w:themeColor="text1" w:themeTint="66" w:val="single"/>
        <w:right w:color="999999" w:space="0" w:sz="4" w:themeColor="text1" w:themeTint="66" w:val="single"/>
        <w:insideH w:color="999999" w:space="0" w:sz="4" w:themeColor="text1" w:themeTint="66" w:val="single"/>
        <w:insideV w:color="999999" w:space="0" w:sz="4" w:themeColor="text1" w:themeTint="66" w:val="single"/>
      </w:tblBorders>
    </w:tblPr>
    <w:tblStylePr w:type="firstRow">
      <w:rPr>
        <w:b/>
        <w:bCs/>
      </w:rPr>
      <w:tblPr/>
      <w:tcPr>
        <w:tcBorders>
          <w:bottom w:color="666666" w:space="0" w:sz="12" w:themeColor="text1" w:themeTint="99" w:val="single"/>
        </w:tcBorders>
      </w:tcPr>
    </w:tblStylePr>
    <w:tblStylePr w:type="lastRow">
      <w:rPr>
        <w:b/>
        <w:bCs/>
      </w:rPr>
      <w:tblPr/>
      <w:tcPr>
        <w:tcBorders>
          <w:top w:color="666666" w:space="0" w:sz="2" w:themeColor="tex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EinfacheTabelle2" w:type="table">
    <w:name w:val="Plain Table 2"/>
    <w:basedOn w:val="NormaleTabelle"/>
    <w:rsid w:val="00006D3F"/>
    <w:pPr>
      <w:spacing w:after="0"/>
    </w:pPr>
    <w:tblPr>
      <w:tblStyleRowBandSize w:val="1"/>
      <w:tblStyleColBandSize w:val="1"/>
      <w:tblBorders>
        <w:top w:color="7F7F7F" w:space="0" w:sz="4" w:themeColor="text1" w:themeTint="80" w:val="single"/>
        <w:bottom w:color="7F7F7F" w:space="0" w:sz="4" w:themeColor="text1" w:themeTint="80" w:val="single"/>
      </w:tblBorders>
    </w:tblPr>
    <w:tblStylePr w:type="firstRow">
      <w:rPr>
        <w:b/>
        <w:bCs/>
      </w:rPr>
      <w:tblPr/>
      <w:tcPr>
        <w:tcBorders>
          <w:bottom w:color="7F7F7F" w:space="0" w:sz="4" w:themeColor="text1" w:themeTint="80" w:val="single"/>
        </w:tcBorders>
      </w:tcPr>
    </w:tblStylePr>
    <w:tblStylePr w:type="lastRow">
      <w:rPr>
        <w:b/>
        <w:bCs/>
      </w:rPr>
      <w:tblPr/>
      <w:tcPr>
        <w:tcBorders>
          <w:top w:color="7F7F7F" w:space="0" w:sz="4" w:themeColor="text1" w:themeTint="80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color="7F7F7F" w:space="0" w:sz="4" w:themeColor="text1" w:themeTint="80" w:val="single"/>
          <w:right w:color="7F7F7F" w:space="0" w:sz="4" w:themeColor="text1" w:themeTint="80" w:val="single"/>
        </w:tcBorders>
      </w:tcPr>
    </w:tblStylePr>
    <w:tblStylePr w:type="band2Vert">
      <w:tblPr/>
      <w:tcPr>
        <w:tcBorders>
          <w:left w:color="7F7F7F" w:space="0" w:sz="4" w:themeColor="text1" w:themeTint="80" w:val="single"/>
          <w:right w:color="7F7F7F" w:space="0" w:sz="4" w:themeColor="text1" w:themeTint="80" w:val="single"/>
        </w:tcBorders>
      </w:tcPr>
    </w:tblStylePr>
    <w:tblStylePr w:type="band1Horz">
      <w:tblPr/>
      <w:tcPr>
        <w:tcBorders>
          <w:top w:color="7F7F7F" w:space="0" w:sz="4" w:themeColor="text1" w:themeTint="80" w:val="single"/>
          <w:bottom w:color="7F7F7F" w:space="0" w:sz="4" w:themeColor="text1" w:themeTint="80" w:val="single"/>
        </w:tcBorders>
      </w:tcPr>
    </w:tblStylePr>
  </w:style>
  <w:style w:styleId="EinfacheTabelle1" w:type="table">
    <w:name w:val="Plain Table 1"/>
    <w:basedOn w:val="NormaleTabelle"/>
    <w:rsid w:val="00006D3F"/>
    <w:pPr>
      <w:spacing w:after="0"/>
    </w:pPr>
    <w:tblPr>
      <w:tblStyleRowBandSize w:val="1"/>
      <w:tblStyleColBandSize w:val="1"/>
      <w:tblBorders>
        <w:top w:color="BFBFBF" w:space="0" w:sz="4" w:themeColor="background1" w:themeShade="BF" w:val="single"/>
        <w:left w:color="BFBFBF" w:space="0" w:sz="4" w:themeColor="background1" w:themeShade="BF" w:val="single"/>
        <w:bottom w:color="BFBFBF" w:space="0" w:sz="4" w:themeColor="background1" w:themeShade="BF" w:val="single"/>
        <w:right w:color="BFBFBF" w:space="0" w:sz="4" w:themeColor="background1" w:themeShade="BF" w:val="single"/>
        <w:insideH w:color="BFBFBF" w:space="0" w:sz="4" w:themeColor="background1" w:themeShade="BF" w:val="single"/>
        <w:insideV w:color="BFBFBF" w:space="0" w:sz="4" w:themeColor="background1" w:themeShade="BF" w:val="single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FBFBF" w:space="0" w:sz="4" w:themeColor="background1" w:themeShade="BF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styleId="Buchtitel" w:type="character">
    <w:name w:val="Book Title"/>
    <w:basedOn w:val="Absatz-Standardschriftart"/>
    <w:rsid w:val="00F14702"/>
    <w:rPr>
      <w:b/>
      <w:bCs/>
      <w:i/>
      <w:iCs/>
      <w:spacing w:val="5"/>
    </w:rPr>
  </w:style>
  <w:style w:customStyle="1" w:styleId="h1-titlepage" w:type="paragraph">
    <w:name w:val="h1-titlepage"/>
    <w:basedOn w:val="h1-pagebreak"/>
    <w:qFormat/>
    <w:rsid w:val="00A05772"/>
    <w:rPr>
      <w:b/>
    </w:rPr>
  </w:style>
  <w:style w:customStyle="1" w:styleId="table-note" w:type="paragraph">
    <w:name w:val="table-note"/>
    <w:basedOn w:val="Compact"/>
    <w:qFormat/>
    <w:rsid w:val="003D36D1"/>
    <w:pPr>
      <w:suppressLineNumbers/>
    </w:pPr>
  </w:style>
  <w:style w:styleId="Zeilennummer" w:type="character">
    <w:name w:val="line number"/>
    <w:basedOn w:val="Absatz-Standardschriftart"/>
    <w:semiHidden/>
    <w:unhideWhenUsed/>
    <w:rsid w:val="003D36D1"/>
  </w:style>
  <w:style w:customStyle="1" w:styleId="authornote" w:type="paragraph">
    <w:name w:val="authornote"/>
    <w:basedOn w:val="Textkrper"/>
    <w:qFormat/>
    <w:rsid w:val="00EB1F7E"/>
    <w:pPr>
      <w:framePr w:hAnchor="text" w:wrap="notBeside" w:yAlign="bottom"/>
    </w:pPr>
  </w:style>
  <w:style w:customStyle="1" w:styleId="authornote-title" w:type="paragraph">
    <w:name w:val="authornote-title"/>
    <w:basedOn w:val="Author"/>
    <w:qFormat/>
    <w:rsid w:val="00EB1F7E"/>
    <w:pPr>
      <w:framePr w:hAnchor="text" w:wrap="notBeside" w:yAlign="bottom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8" Target="header1.xml" Type="http://schemas.openxmlformats.org/officeDocument/2006/relationships/header" /><Relationship Id="rId10" Target="header3.xml" Type="http://schemas.openxmlformats.org/officeDocument/2006/relationships/header" /><Relationship Id="rId9" Target="header2.xml" Type="http://schemas.openxmlformats.org/officeDocument/2006/relationships/header" /><Relationship Type="http://schemas.openxmlformats.org/officeDocument/2006/relationships/image" Id="rId48" Target="media/rId48.png" /><Relationship Type="http://schemas.openxmlformats.org/officeDocument/2006/relationships/image" Id="rId23" Target="media/rId23.png" /><Relationship Type="http://schemas.openxmlformats.org/officeDocument/2006/relationships/image" Id="rId19" Target="media/rId1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0</Words>
  <Characters>1</Characters>
  <Application>Microsoft Office Word</Application>
  <DocSecurity>0</DocSecurity>
  <Lines>1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Distorted estimates of implicit and explicit learning in applications of the process-dissociation procedure to the SRT task</vt:lpstr>
    </vt:vector>
  </TitlesOfParts>
  <Manager/>
  <Company/>
  <LinksUpToDate>false</LinksUpToDate>
  <CharactersWithSpaces>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MATERIAL for DOIXXXXXXXXXX Young Children’s Spontaneous Comprehension of Symbol-Referent Relationships in the Graphic Domain</dc:title>
  <dc:creator/>
  <cp:keywords/>
  <dcterms:created xsi:type="dcterms:W3CDTF">2026-07-01T16:00:06Z</dcterms:created>
  <dcterms:modified xsi:type="dcterms:W3CDTF">2026-07-01T16:00:06Z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">
    <vt:lpwstr/>
  </property>
  <property fmtid="{D5CDD505-2E9C-101B-9397-08002B2CF9AE}" pid="3" name="bibliography">
    <vt:lpwstr>library.bib</vt:lpwstr>
  </property>
  <property fmtid="{D5CDD505-2E9C-101B-9397-08002B2CF9AE}" pid="4" name="csl">
    <vt:lpwstr>C:\Users\Kachel.IPE-KACHEL-N\AppData\Local\R\win-library\4.6\papaja\rmd\apa6.csl</vt:lpwstr>
  </property>
  <property fmtid="{D5CDD505-2E9C-101B-9397-08002B2CF9AE}" pid="5" name="draft">
    <vt:lpwstr>False</vt:lpwstr>
  </property>
  <property fmtid="{D5CDD505-2E9C-101B-9397-08002B2CF9AE}" pid="6" name="editor_options">
    <vt:lpwstr/>
  </property>
  <property fmtid="{D5CDD505-2E9C-101B-9397-08002B2CF9AE}" pid="7" name="figurelist">
    <vt:lpwstr>False</vt:lpwstr>
  </property>
  <property fmtid="{D5CDD505-2E9C-101B-9397-08002B2CF9AE}" pid="8" name="floatsintext">
    <vt:lpwstr>False</vt:lpwstr>
  </property>
  <property fmtid="{D5CDD505-2E9C-101B-9397-08002B2CF9AE}" pid="9" name="footnotelist">
    <vt:lpwstr>False</vt:lpwstr>
  </property>
  <property fmtid="{D5CDD505-2E9C-101B-9397-08002B2CF9AE}" pid="10" name="linenumbers">
    <vt:lpwstr>True</vt:lpwstr>
  </property>
  <property fmtid="{D5CDD505-2E9C-101B-9397-08002B2CF9AE}" pid="11" name="mask">
    <vt:lpwstr>True</vt:lpwstr>
  </property>
  <property fmtid="{D5CDD505-2E9C-101B-9397-08002B2CF9AE}" pid="12" name="output">
    <vt:lpwstr/>
  </property>
  <property fmtid="{D5CDD505-2E9C-101B-9397-08002B2CF9AE}" pid="13" name="shorttitle">
    <vt:lpwstr>Supplementary Material</vt:lpwstr>
  </property>
  <property fmtid="{D5CDD505-2E9C-101B-9397-08002B2CF9AE}" pid="14" name="tablelist">
    <vt:lpwstr>False</vt:lpwstr>
  </property>
  <property fmtid="{D5CDD505-2E9C-101B-9397-08002B2CF9AE}" pid="15" name="wordcount">
    <vt:lpwstr>XXX</vt:lpwstr>
  </property>
</Properties>
</file>