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 </w:t>
      </w:r>
      <w:r w:rsidDel="00000000" w:rsidR="00000000" w:rsidRPr="00000000">
        <w:rPr>
          <w:rtl w:val="0"/>
        </w:rPr>
      </w:r>
    </w:p>
    <w:p w:rsidR="00000000" w:rsidDel="00000000" w:rsidP="00000000" w:rsidRDefault="00000000" w:rsidRPr="00000000" w14:paraId="00000002">
      <w:pPr>
        <w:pStyle w:val="Title"/>
        <w:spacing w:after="240" w:lineRule="auto"/>
        <w:jc w:val="center"/>
        <w:rPr>
          <w:rFonts w:ascii="Times New Roman" w:cs="Times New Roman" w:eastAsia="Times New Roman" w:hAnsi="Times New Roman"/>
          <w:b w:val="1"/>
          <w:bCs w:val="1"/>
          <w:sz w:val="24"/>
          <w:szCs w:val="24"/>
        </w:rPr>
      </w:pPr>
      <w:bookmarkStart w:colFirst="0" w:colLast="0" w:name="_jw05rkqsd8fj" w:id="0"/>
      <w:bookmarkEnd w:id="0"/>
      <w:r w:rsidDel="00000000" w:rsidR="00000000" w:rsidRPr="00000000">
        <w:rPr>
          <w:rFonts w:ascii="Times New Roman" w:cs="Times New Roman" w:eastAsia="Times New Roman" w:hAnsi="Times New Roman"/>
          <w:b w:val="1"/>
          <w:bCs w:val="1"/>
          <w:sz w:val="24"/>
          <w:szCs w:val="24"/>
          <w:rtl w:val="0"/>
        </w:rPr>
        <w:t xml:space="preserve">Young Children’s Spontaneous Comprehension of Symbol-Referent Relationships </w:t>
      </w:r>
    </w:p>
    <w:p w:rsidR="00000000" w:rsidDel="00000000" w:rsidP="00000000" w:rsidRDefault="00000000" w:rsidRPr="00000000" w14:paraId="00000003">
      <w:pPr>
        <w:pStyle w:val="Title"/>
        <w:spacing w:after="240" w:lineRule="auto"/>
        <w:jc w:val="center"/>
        <w:rPr>
          <w:rFonts w:ascii="Times New Roman" w:cs="Times New Roman" w:eastAsia="Times New Roman" w:hAnsi="Times New Roman"/>
          <w:b w:val="1"/>
          <w:bCs w:val="1"/>
          <w:sz w:val="24"/>
          <w:szCs w:val="24"/>
        </w:rPr>
      </w:pPr>
      <w:bookmarkStart w:colFirst="0" w:colLast="0" w:name="_dtb4gpnnhadx" w:id="1"/>
      <w:bookmarkEnd w:id="1"/>
      <w:r w:rsidDel="00000000" w:rsidR="00000000" w:rsidRPr="00000000">
        <w:rPr>
          <w:rFonts w:ascii="Times New Roman" w:cs="Times New Roman" w:eastAsia="Times New Roman" w:hAnsi="Times New Roman"/>
          <w:b w:val="1"/>
          <w:bCs w:val="1"/>
          <w:sz w:val="24"/>
          <w:szCs w:val="24"/>
          <w:rtl w:val="0"/>
        </w:rPr>
        <w:t xml:space="preserve">in the Graphic Domain</w:t>
      </w:r>
    </w:p>
    <w:p w:rsidR="00000000" w:rsidDel="00000000" w:rsidP="00000000" w:rsidRDefault="00000000" w:rsidRPr="00000000" w14:paraId="00000004">
      <w:pPr>
        <w:pageBreakBefore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Manuscript ID: </w:t>
      </w:r>
      <w:r w:rsidDel="00000000" w:rsidR="00000000" w:rsidRPr="00000000">
        <w:rPr>
          <w:rFonts w:ascii="Times New Roman" w:cs="Times New Roman" w:eastAsia="Times New Roman" w:hAnsi="Times New Roman"/>
          <w:b w:val="1"/>
          <w:bCs w:val="1"/>
          <w:sz w:val="24"/>
          <w:szCs w:val="24"/>
          <w:rtl w:val="0"/>
        </w:rPr>
        <w:t xml:space="preserve">CD MS CHILDDEV-2025-1273 </w:t>
      </w:r>
    </w:p>
    <w:p w:rsidR="00000000" w:rsidDel="00000000" w:rsidP="00000000" w:rsidRDefault="00000000" w:rsidRPr="00000000" w14:paraId="00000005">
      <w:pPr>
        <w:pageBreakBefore w:val="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heartily thank the editor and reviewers for their continuous effort and patience. Below we provide a detailed overview of how we responded with changes to the manuscript for all points that were raised. As requested, fulfillment of the general requirements are listed at the end. </w:t>
      </w:r>
    </w:p>
    <w:p w:rsidR="00000000" w:rsidDel="00000000" w:rsidP="00000000" w:rsidRDefault="00000000" w:rsidRPr="00000000" w14:paraId="00000007">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Editor’s Notes</w:t>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E1.1 Rework Lay Summary</w:t>
      </w:r>
    </w:p>
    <w:p w:rsidR="00000000" w:rsidDel="00000000" w:rsidP="00000000" w:rsidRDefault="00000000" w:rsidRPr="00000000" w14:paraId="0000000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Editor requested the lay summary to be reworked, especially for technical jargon to be removed. The amended version reads</w:t>
      </w:r>
    </w:p>
    <w:p w:rsidR="00000000" w:rsidDel="00000000" w:rsidP="00000000" w:rsidRDefault="00000000" w:rsidRPr="00000000" w14:paraId="0000000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120" w:line="276" w:lineRule="auto"/>
        <w:ind w:left="720" w:firstLine="6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children are skilled at understanding spoken language and gestures, but much less is known about their grasp of graphic displays. We explored how children aged 3 to 7 interpret line-drawings presented as cues in a picture-book-style game of hide and seek. </w:t>
      </w:r>
      <w:r w:rsidDel="00000000" w:rsidR="00000000" w:rsidRPr="00000000">
        <w:rPr>
          <w:rFonts w:ascii="Times New Roman" w:cs="Times New Roman" w:eastAsia="Times New Roman" w:hAnsi="Times New Roman"/>
          <w:i w:val="1"/>
          <w:iCs w:val="1"/>
          <w:sz w:val="24"/>
          <w:szCs w:val="24"/>
          <w:rtl w:val="0"/>
        </w:rPr>
        <w:t xml:space="preserve">When the cue was an outline drawing of the hiding place, children succeeded by three years of age. But when the drawn cue matched the hiding place only with regard to a specific feature such as size, number, or orientation, children were able to use the hints only around four years of age.</w:t>
      </w:r>
      <w:r w:rsidDel="00000000" w:rsidR="00000000" w:rsidRPr="00000000">
        <w:rPr>
          <w:rFonts w:ascii="Times New Roman" w:cs="Times New Roman" w:eastAsia="Times New Roman" w:hAnsi="Times New Roman"/>
          <w:sz w:val="24"/>
          <w:szCs w:val="24"/>
          <w:rtl w:val="0"/>
        </w:rPr>
        <w:t xml:space="preserve"> These findings show how children gradually become sensitive to various ways of conveying information in visual symbols throughout the preschool years, and prior to literacy.</w:t>
      </w:r>
    </w:p>
    <w:p w:rsidR="00000000" w:rsidDel="00000000" w:rsidP="00000000" w:rsidRDefault="00000000" w:rsidRPr="00000000" w14:paraId="0000000E">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E.1.2 Add Links and Identifying Information (</w:t>
      </w:r>
      <w:r w:rsidDel="00000000" w:rsidR="00000000" w:rsidRPr="00000000">
        <w:rPr>
          <w:rFonts w:ascii="Times New Roman" w:cs="Times New Roman" w:eastAsia="Times New Roman" w:hAnsi="Times New Roman"/>
          <w:b w:val="1"/>
          <w:bCs w:val="1"/>
          <w:i w:val="1"/>
          <w:iCs w:val="1"/>
          <w:sz w:val="24"/>
          <w:szCs w:val="24"/>
          <w:rtl w:val="0"/>
        </w:rPr>
        <w:t xml:space="preserve">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SD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p</w:t>
      </w:r>
      <w:r w:rsidDel="00000000" w:rsidR="00000000" w:rsidRPr="00000000">
        <w:rPr>
          <w:rFonts w:ascii="Times New Roman" w:cs="Times New Roman" w:eastAsia="Times New Roman" w:hAnsi="Times New Roman"/>
          <w:b w:val="1"/>
          <w:bCs w:val="1"/>
          <w:sz w:val="24"/>
          <w:szCs w:val="24"/>
          <w:rtl w:val="0"/>
        </w:rPr>
        <w:t xml:space="preserve">, etc.)</w:t>
      </w:r>
    </w:p>
    <w:p w:rsidR="00000000" w:rsidDel="00000000" w:rsidP="00000000" w:rsidRDefault="00000000" w:rsidRPr="00000000" w14:paraId="0000000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requested, this version of the manuscript is no longer masked. It contains the link to the online repository holding the data and analysis script (</w:t>
      </w:r>
      <w:hyperlink r:id="rId6">
        <w:r w:rsidDel="00000000" w:rsidR="00000000" w:rsidRPr="00000000">
          <w:rPr>
            <w:rFonts w:ascii="Times New Roman" w:cs="Times New Roman" w:eastAsia="Times New Roman" w:hAnsi="Times New Roman"/>
            <w:color w:val="1155cc"/>
            <w:sz w:val="24"/>
            <w:szCs w:val="24"/>
            <w:u w:val="single"/>
            <w:rtl w:val="0"/>
          </w:rPr>
          <w:t xml:space="preserve">https://doi.org/10.5281/zenodo.21894820</w:t>
        </w:r>
      </w:hyperlink>
      <w:r w:rsidDel="00000000" w:rsidR="00000000" w:rsidRPr="00000000">
        <w:rPr>
          <w:rFonts w:ascii="Times New Roman" w:cs="Times New Roman" w:eastAsia="Times New Roman" w:hAnsi="Times New Roman"/>
          <w:sz w:val="24"/>
          <w:szCs w:val="24"/>
          <w:rtl w:val="0"/>
        </w:rPr>
        <w:t xml:space="preserve">) and further identifying information.</w:t>
      </w:r>
    </w:p>
    <w:p w:rsidR="00000000" w:rsidDel="00000000" w:rsidP="00000000" w:rsidRDefault="00000000" w:rsidRPr="00000000" w14:paraId="00000010">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E.1.3 Italicize all Mathematical Notation (</w:t>
      </w:r>
      <w:r w:rsidDel="00000000" w:rsidR="00000000" w:rsidRPr="00000000">
        <w:rPr>
          <w:rFonts w:ascii="Times New Roman" w:cs="Times New Roman" w:eastAsia="Times New Roman" w:hAnsi="Times New Roman"/>
          <w:b w:val="1"/>
          <w:bCs w:val="1"/>
          <w:i w:val="1"/>
          <w:iCs w:val="1"/>
          <w:sz w:val="24"/>
          <w:szCs w:val="24"/>
          <w:rtl w:val="0"/>
        </w:rPr>
        <w:t xml:space="preserve">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SD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p</w:t>
      </w:r>
      <w:r w:rsidDel="00000000" w:rsidR="00000000" w:rsidRPr="00000000">
        <w:rPr>
          <w:rFonts w:ascii="Times New Roman" w:cs="Times New Roman" w:eastAsia="Times New Roman" w:hAnsi="Times New Roman"/>
          <w:b w:val="1"/>
          <w:bCs w:val="1"/>
          <w:sz w:val="24"/>
          <w:szCs w:val="24"/>
          <w:rtl w:val="0"/>
        </w:rPr>
        <w:t xml:space="preserve">, etc.)</w:t>
      </w:r>
    </w:p>
    <w:p w:rsidR="00000000" w:rsidDel="00000000" w:rsidP="00000000" w:rsidRDefault="00000000" w:rsidRPr="00000000" w14:paraId="0000001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statistical symbols in the manuscripts and supplements have been italicized. </w:t>
      </w:r>
    </w:p>
    <w:p w:rsidR="00000000" w:rsidDel="00000000" w:rsidP="00000000" w:rsidRDefault="00000000" w:rsidRPr="00000000" w14:paraId="0000001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E.1.4 Enlarge Results Figures</w:t>
      </w:r>
    </w:p>
    <w:p w:rsidR="00000000" w:rsidDel="00000000" w:rsidP="00000000" w:rsidRDefault="00000000" w:rsidRPr="00000000" w14:paraId="0000001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enlarged the figures in the manuscript. However, we submit .svg-files that can be scaled without loss of quality for the production of the manuscript. </w:t>
      </w:r>
    </w:p>
    <w:p w:rsidR="00000000" w:rsidDel="00000000" w:rsidP="00000000" w:rsidRDefault="00000000" w:rsidRPr="00000000" w14:paraId="00000016">
      <w:pPr>
        <w:spacing w:line="276"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E.1.5 Fix References</w:t>
      </w:r>
    </w:p>
    <w:p w:rsidR="00000000" w:rsidDel="00000000" w:rsidP="00000000" w:rsidRDefault="00000000" w:rsidRPr="00000000" w14:paraId="0000001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used an APA6 citation template (listing all authors when referencing a paper for the first time), whereas APA7 demands any reference to publications with more than three authors to be cited as </w:t>
      </w:r>
      <w:r w:rsidDel="00000000" w:rsidR="00000000" w:rsidRPr="00000000">
        <w:rPr>
          <w:rFonts w:ascii="Times New Roman" w:cs="Times New Roman" w:eastAsia="Times New Roman" w:hAnsi="Times New Roman"/>
          <w:i w:val="1"/>
          <w:iCs w:val="1"/>
          <w:sz w:val="24"/>
          <w:szCs w:val="24"/>
          <w:rtl w:val="0"/>
        </w:rPr>
        <w:t xml:space="preserve">first author et al.</w:t>
      </w:r>
      <w:r w:rsidDel="00000000" w:rsidR="00000000" w:rsidRPr="00000000">
        <w:rPr>
          <w:rFonts w:ascii="Times New Roman" w:cs="Times New Roman" w:eastAsia="Times New Roman" w:hAnsi="Times New Roman"/>
          <w:sz w:val="24"/>
          <w:szCs w:val="24"/>
          <w:rtl w:val="0"/>
        </w:rPr>
        <w:t xml:space="preserve">. We have amended the manuscript accordingly to match APA7 guidelines. In addition, the references section has DOIs for all references and editors were added where relevant. </w:t>
      </w:r>
    </w:p>
    <w:p w:rsidR="00000000" w:rsidDel="00000000" w:rsidP="00000000" w:rsidRDefault="00000000" w:rsidRPr="00000000" w14:paraId="00000019">
      <w:pPr>
        <w:jc w:val="both"/>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General Requirements</w:t>
      </w:r>
    </w:p>
    <w:p w:rsidR="00000000" w:rsidDel="00000000" w:rsidP="00000000" w:rsidRDefault="00000000" w:rsidRPr="00000000" w14:paraId="0000001B">
      <w:pPr>
        <w:jc w:val="center"/>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01C">
      <w:pPr>
        <w:numPr>
          <w:ilvl w:val="0"/>
          <w:numId w:val="1"/>
        </w:numPr>
        <w:spacing w:line="276"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Lay Summary </w:t>
      </w:r>
      <w:r w:rsidDel="00000000" w:rsidR="00000000" w:rsidRPr="00000000">
        <w:rPr>
          <w:rFonts w:ascii="Times New Roman" w:cs="Times New Roman" w:eastAsia="Times New Roman" w:hAnsi="Times New Roman"/>
          <w:sz w:val="24"/>
          <w:szCs w:val="24"/>
          <w:rtl w:val="0"/>
        </w:rPr>
        <w:t xml:space="preserve">is provided under the headline “lay summary” before the introduction.</w:t>
      </w:r>
    </w:p>
    <w:p w:rsidR="00000000" w:rsidDel="00000000" w:rsidP="00000000" w:rsidRDefault="00000000" w:rsidRPr="00000000" w14:paraId="0000001D">
      <w:pPr>
        <w:numPr>
          <w:ilvl w:val="0"/>
          <w:numId w:val="1"/>
        </w:numPr>
        <w:spacing w:line="276"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Short alternative-text description: </w:t>
      </w:r>
      <w:r w:rsidDel="00000000" w:rsidR="00000000" w:rsidRPr="00000000">
        <w:rPr>
          <w:rFonts w:ascii="Times New Roman" w:cs="Times New Roman" w:eastAsia="Times New Roman" w:hAnsi="Times New Roman"/>
          <w:sz w:val="24"/>
          <w:szCs w:val="24"/>
          <w:rtl w:val="0"/>
        </w:rPr>
        <w:t xml:space="preserve">Texts are provided with each figure and marked as “Alt-Text Figure X”</w:t>
      </w:r>
    </w:p>
    <w:p w:rsidR="00000000" w:rsidDel="00000000" w:rsidP="00000000" w:rsidRDefault="00000000" w:rsidRPr="00000000" w14:paraId="0000001E">
      <w:pPr>
        <w:numPr>
          <w:ilvl w:val="0"/>
          <w:numId w:val="1"/>
        </w:numPr>
        <w:spacing w:line="276"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SRCD sociocultural policies</w:t>
      </w:r>
    </w:p>
    <w:p w:rsidR="00000000" w:rsidDel="00000000" w:rsidP="00000000" w:rsidRDefault="00000000" w:rsidRPr="00000000" w14:paraId="0000001F">
      <w:pPr>
        <w:numPr>
          <w:ilvl w:val="1"/>
          <w:numId w:val="1"/>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manuscript is compliant with the SRCD sociocultural policies. Under the </w:t>
      </w:r>
      <w:r w:rsidDel="00000000" w:rsidR="00000000" w:rsidRPr="00000000">
        <w:rPr>
          <w:rFonts w:ascii="Times New Roman" w:cs="Times New Roman" w:eastAsia="Times New Roman" w:hAnsi="Times New Roman"/>
          <w:i w:val="1"/>
          <w:iCs w:val="1"/>
          <w:sz w:val="24"/>
          <w:szCs w:val="24"/>
          <w:rtl w:val="0"/>
        </w:rPr>
        <w:t xml:space="preserve">General Methods</w:t>
      </w:r>
      <w:r w:rsidDel="00000000" w:rsidR="00000000" w:rsidRPr="00000000">
        <w:rPr>
          <w:rFonts w:ascii="Times New Roman" w:cs="Times New Roman" w:eastAsia="Times New Roman" w:hAnsi="Times New Roman"/>
          <w:sz w:val="24"/>
          <w:szCs w:val="24"/>
          <w:rtl w:val="0"/>
        </w:rPr>
        <w:t xml:space="preserve"> section (p.10) we report (1) the dates of data collection; (2) race/ethnicity, socioeconomic status, language, (3) place(s) from which that sample was drawn, including country, region, and report the (4) selection and recruitment procedures.</w:t>
      </w:r>
    </w:p>
    <w:p w:rsidR="00000000" w:rsidDel="00000000" w:rsidP="00000000" w:rsidRDefault="00000000" w:rsidRPr="00000000" w14:paraId="00000020">
      <w:pPr>
        <w:numPr>
          <w:ilvl w:val="0"/>
          <w:numId w:val="1"/>
        </w:numPr>
        <w:spacing w:line="276"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StatCheck</w:t>
      </w:r>
    </w:p>
    <w:p w:rsidR="00000000" w:rsidDel="00000000" w:rsidP="00000000" w:rsidRDefault="00000000" w:rsidRPr="00000000" w14:paraId="00000021">
      <w:pPr>
        <w:numPr>
          <w:ilvl w:val="1"/>
          <w:numId w:val="1"/>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Both manuscript and supplement have been run through StatCheck. The main manuscript does not contain significance tests. All exploratory t-tests reported in the supplements have been evaluated as “consistent” by StatCheck. </w:t>
      </w:r>
    </w:p>
    <w:p w:rsidR="00000000" w:rsidDel="00000000" w:rsidP="00000000" w:rsidRDefault="00000000" w:rsidRPr="00000000" w14:paraId="00000022">
      <w:pPr>
        <w:numPr>
          <w:ilvl w:val="0"/>
          <w:numId w:val="1"/>
        </w:numPr>
        <w:spacing w:line="276"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Exploratory vs. Confirmatory Declaration</w:t>
      </w:r>
    </w:p>
    <w:p w:rsidR="00000000" w:rsidDel="00000000" w:rsidP="00000000" w:rsidRDefault="00000000" w:rsidRPr="00000000" w14:paraId="00000023">
      <w:pPr>
        <w:numPr>
          <w:ilvl w:val="1"/>
          <w:numId w:val="1"/>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the Methods for Study 1 under Data Handling and Analyses we outline that all analyses and hypotheses were preregistered. We highlight where our analyses deviate from the preregistered analysis (i.e. comparing models via ELPD differences). Exploratory analyses are clearly discussed as such and are presented only in the supplements. We highlight that we had hypotheses about the specific order of the age of success for the experimental conditions but did not make point predictions about the month of success. Preregistrations are uploaded together with the study materials, data, and analysis scripts in an only repository.</w:t>
      </w:r>
    </w:p>
    <w:p w:rsidR="00000000" w:rsidDel="00000000" w:rsidP="00000000" w:rsidRDefault="00000000" w:rsidRPr="00000000" w14:paraId="00000024">
      <w:pPr>
        <w:numPr>
          <w:ilvl w:val="0"/>
          <w:numId w:val="1"/>
        </w:numPr>
        <w:spacing w:line="276"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Conflict of Interest Forms.</w:t>
      </w:r>
    </w:p>
    <w:p w:rsidR="00000000" w:rsidDel="00000000" w:rsidP="00000000" w:rsidRDefault="00000000" w:rsidRPr="00000000" w14:paraId="00000025">
      <w:pPr>
        <w:numPr>
          <w:ilvl w:val="1"/>
          <w:numId w:val="1"/>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authors declare no conflict of interest. The respective forms are submitted along with the revision.</w:t>
      </w:r>
    </w:p>
    <w:p w:rsidR="00000000" w:rsidDel="00000000" w:rsidP="00000000" w:rsidRDefault="00000000" w:rsidRPr="00000000" w14:paraId="00000026">
      <w:pPr>
        <w:numPr>
          <w:ilvl w:val="0"/>
          <w:numId w:val="1"/>
        </w:numPr>
        <w:spacing w:line="276"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Open Science Declaration.</w:t>
      </w:r>
    </w:p>
    <w:p w:rsidR="00000000" w:rsidDel="00000000" w:rsidP="00000000" w:rsidRDefault="00000000" w:rsidRPr="00000000" w14:paraId="00000027">
      <w:pPr>
        <w:numPr>
          <w:ilvl w:val="1"/>
          <w:numId w:val="1"/>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data, analysis scripts and materials are publicly available. This open science declaration will be included on the title page:</w:t>
      </w:r>
    </w:p>
    <w:p w:rsidR="00000000" w:rsidDel="00000000" w:rsidP="00000000" w:rsidRDefault="00000000" w:rsidRPr="00000000" w14:paraId="00000028">
      <w:pPr>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Scientific Integrity and Openness</w:t>
      </w:r>
      <w:r w:rsidDel="00000000" w:rsidR="00000000" w:rsidRPr="00000000">
        <w:rPr>
          <w:rFonts w:ascii="Times New Roman" w:cs="Times New Roman" w:eastAsia="Times New Roman" w:hAnsi="Times New Roman"/>
          <w:sz w:val="24"/>
          <w:szCs w:val="24"/>
          <w:rtl w:val="0"/>
        </w:rPr>
        <w:t xml:space="preserve">: The data and code necessary to reproduce the analyses presented here are publicly accessible, as are the materials necessary to attempt to replicate the findings. Analyses were pre-registered. For data, analyses materials, and preregistrations see: </w:t>
      </w:r>
      <w:hyperlink r:id="rId7">
        <w:r w:rsidDel="00000000" w:rsidR="00000000" w:rsidRPr="00000000">
          <w:rPr>
            <w:rFonts w:ascii="Times New Roman" w:cs="Times New Roman" w:eastAsia="Times New Roman" w:hAnsi="Times New Roman"/>
            <w:color w:val="1155cc"/>
            <w:sz w:val="24"/>
            <w:szCs w:val="24"/>
            <w:u w:val="single"/>
            <w:rtl w:val="0"/>
          </w:rPr>
          <w:t xml:space="preserve">https://doi.org/10.5281/zenodo.21894820</w:t>
        </w:r>
      </w:hyperlink>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tl w:val="0"/>
        </w:rPr>
      </w:r>
    </w:p>
    <w:sectPr>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5281/zenodo.21894820" TargetMode="External"/><Relationship Id="rId7" Type="http://schemas.openxmlformats.org/officeDocument/2006/relationships/hyperlink" Target="https://doi.org/10.5281/zenodo.21894820"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