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7.png" ContentType="image/png"/>
  <Override PartName="/word/media/rId47.png" ContentType="image/png"/>
  <Override PartName="/word/media/rId57.png" ContentType="image/png"/>
  <Override PartName="/word/media/rId76.png" ContentType="image/png"/>
  <Override PartName="/word/media/rId72.png" ContentType="image/png"/>
  <Override PartName="/word/media/rId85.png" ContentType="image/png"/>
  <Override PartName="/word/media/rId81.png" ContentType="image/png"/>
  <Override PartName="/word/media/rId2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Various</w:t>
      </w:r>
      <w:r>
        <w:t xml:space="preserve"> </w:t>
      </w:r>
      <w:r>
        <w:t xml:space="preserve">Symbol-Referent</w:t>
      </w:r>
      <w:r>
        <w:t xml:space="preserve"> </w:t>
      </w:r>
      <w:r>
        <w:t xml:space="preserve">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Various Symbol-Referent Relationships in the Graphic Domain</w:t>
      </w:r>
    </w:p>
    <w:bookmarkStart w:id="20"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0"/>
    <w:bookmarkStart w:id="33" w:name="general-methods"/>
    <w:p>
      <w:pPr>
        <w:pStyle w:val="berschrift1"/>
      </w:pPr>
      <w:r>
        <w:t xml:space="preserve">General Methods</w:t>
      </w:r>
    </w:p>
    <w:p>
      <w:pPr>
        <w:pStyle w:val="FirstParagraph"/>
      </w:pPr>
      <w:r>
        <w:t xml:space="preserve">All three studies presented below share the same methods and analyses. For the convenience of the reader, common features of the procedure, participant recruiting and stimulus design are reported first before discussing the three studies respectively. All studies were preregistered online prior to data collection (cf. </w:t>
      </w:r>
      <w:hyperlink r:id="rId21">
        <w:r>
          <w:rPr>
            <w:rStyle w:val="Hyperlink"/>
          </w:rPr>
          <w:t xml:space="preserve">Study 1</w:t>
        </w:r>
      </w:hyperlink>
      <w:r>
        <w:t xml:space="preserve">,</w:t>
      </w:r>
      <w:r>
        <w:t xml:space="preserve"> </w:t>
      </w:r>
      <w:hyperlink r:id="rId22">
        <w:r>
          <w:rPr>
            <w:rStyle w:val="Hyperlink"/>
          </w:rPr>
          <w:t xml:space="preserve">Study 2</w:t>
        </w:r>
      </w:hyperlink>
      <w:r>
        <w:t xml:space="preserve">, and</w:t>
      </w:r>
      <w:r>
        <w:t xml:space="preserve"> </w:t>
      </w:r>
      <w:hyperlink r:id="rId23">
        <w:r>
          <w:rPr>
            <w:rStyle w:val="Hyperlink"/>
          </w:rPr>
          <w:t xml:space="preserve">Study 3</w:t>
        </w:r>
      </w:hyperlink>
      <w:r>
        <w:t xml:space="preserve">).</w:t>
      </w:r>
    </w:p>
    <w:bookmarkStart w:id="24" w:name="data-collection-and-setup"/>
    <w:p>
      <w:pPr>
        <w:pStyle w:val="berschrift2"/>
      </w:pPr>
      <w:r>
        <w:t xml:space="preserve">Data Collection and Setup</w:t>
      </w:r>
    </w:p>
    <w:p>
      <w:pPr>
        <w:pStyle w:val="FirstParagraph"/>
      </w:pPr>
      <w:r>
        <w:t xml:space="preserve">In order to continuously trace the development of symbolic competences across the preschool years, data collection aimed at testing two children per month of age between the third and the seventh birthday for a total of 96 participants per study while balancing male and female participants. As children participated on the basis of availability and data were collected by several experimenter teams visiting different institutions in parallel, the resulting final samples slightly exceed this preregistered minimum sample size. The final sample approximates an equal distribution of male and female participants and aligns with conventions in the field in providing a minimum of 24 participants per study and year of age (cf. Appendix A figure</w:t>
      </w:r>
      <w:r>
        <w:t xml:space="preserve"> </w:t>
      </w:r>
      <w:r>
        <w:t xml:space="preserve">5</w:t>
      </w:r>
      <w:r>
        <w:t xml:space="preserve">). 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bookmarkEnd w:id="24"/>
    <w:bookmarkStart w:id="29" w:name="setup-and-procedure"/>
    <w:p>
      <w:pPr>
        <w:pStyle w:val="berschrift2"/>
      </w:pPr>
      <w:r>
        <w:t xml:space="preserve">Setup and Procedure</w:t>
      </w:r>
    </w:p>
    <w:p>
      <w:pPr>
        <w:pStyle w:val="FirstParagraph"/>
      </w:pPr>
      <w:r>
        <w:t xml:space="preserve">During test sessions, a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4178300" cy="3168734"/>
            <wp:effectExtent b="0" l="0" r="0" t="0"/>
            <wp:docPr descr="Figure 1: Setup. Experimenters were sitting behind the children in order to not distract them while supervising data collection." title="" id="26" name="Picture"/>
            <a:graphic>
              <a:graphicData uri="http://schemas.openxmlformats.org/drawingml/2006/picture">
                <pic:pic>
                  <pic:nvPicPr>
                    <pic:cNvPr descr="../illustrations/setup%20room.png" id="27" name="Picture"/>
                    <pic:cNvPicPr>
                      <a:picLocks noChangeArrowheads="1" noChangeAspect="1"/>
                    </pic:cNvPicPr>
                  </pic:nvPicPr>
                  <pic:blipFill>
                    <a:blip r:embed="rId25"/>
                    <a:stretch>
                      <a:fillRect/>
                    </a:stretch>
                  </pic:blipFill>
                  <pic:spPr bwMode="auto">
                    <a:xfrm>
                      <a:off x="0" y="0"/>
                      <a:ext cx="4178300" cy="3168734"/>
                    </a:xfrm>
                    <a:prstGeom prst="rect">
                      <a:avLst/>
                    </a:prstGeom>
                    <a:noFill/>
                    <a:ln w="9525">
                      <a:noFill/>
                      <a:headEnd/>
                      <a:tailEnd/>
                    </a:ln>
                  </pic:spPr>
                </pic:pic>
              </a:graphicData>
            </a:graphic>
          </wp:inline>
        </w:drawing>
      </w:r>
    </w:p>
    <w:p>
      <w:pPr>
        <w:pStyle w:val="ImageCaption"/>
      </w:pPr>
      <w:bookmarkStart w:id="28" w:name="fig:plot-figure-setup"/>
      <w:bookmarkEnd w:id="28"/>
      <w:r>
        <w:rPr>
          <w:i/>
          <w:iCs/>
        </w:rPr>
        <w:t xml:space="preserve">Figure</w:t>
      </w:r>
      <w:r>
        <w:t xml:space="preserve"> </w:t>
      </w:r>
      <w:r>
        <w:t xml:space="preserve">1.</w:t>
      </w:r>
      <w:r>
        <w:t xml:space="preserve"> </w:t>
      </w:r>
      <w:r>
        <w:rPr>
          <w:i/>
          <w:iCs/>
        </w:rPr>
        <w:t xml:space="preserve">Setup.</w:t>
      </w:r>
      <w:r>
        <w:t xml:space="preserve"> </w:t>
      </w:r>
      <w:r>
        <w:t xml:space="preserve">Experimenters were sitting behind the children in order to not distract them while supervising data collection.</w:t>
      </w:r>
    </w:p>
    <w:p>
      <w:pPr>
        <w:pStyle w:val="Textkrper"/>
      </w:pPr>
      <w:r>
        <w:t xml:space="preserve">Experimenters invited the participants to join a hiding game and initially instructed them to follow the narration of the story. First, the presentation introduced a cartoon monkey. This character then placed two cups on the bottom left and right side of the screen. After holding up a banana, one of the barriers was lifted, the banana was placed underneath one of the cups and the barrier was lowered. Children were now prompted to touch the hiding place and in doing so the barrier of their choice was lifted to reveal the banana again if they chose correctly. The experimental script played back prerecorded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(cf. Appendix B, figure</w:t>
      </w:r>
      <w:r>
        <w:t xml:space="preserve"> </w:t>
      </w:r>
      <w:r>
        <w:t xml:space="preserve">7</w:t>
      </w:r>
      <w:r>
        <w:t xml:space="preserve"> </w:t>
      </w:r>
      <w:r>
        <w:t xml:space="preserve">A). In order to succeed during familiarization, children solely had to remember where the item went and touch this part of the screen after a few seconds.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t xml:space="preserve">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knowledgeable and benevolent partner in a cooperative coordination game. The hiding sequence was identical to the familiarization phase, however the placement of the banana was concealed by a barrier covering the lower half of the screen. After the hiding phase, the monkey then held up piece of paper and a pencil. Pencil movement and a short scribble sound indicated that the monkey was drawing.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Upon making a choice by touching the hiding places, children received no feedback and there was no reveal animation. Rather, children’s choice was acknowledged with neutral feedback (</w:t>
      </w:r>
      <w:r>
        <w:t xml:space="preserve">“</w:t>
      </w:r>
      <w:r>
        <w:t xml:space="preserve">Ah, thank you</w:t>
      </w:r>
      <w:r>
        <w:t xml:space="preserve">”</w:t>
      </w:r>
      <w:r>
        <w:t xml:space="preserve">) leading over to the next trial (cf. Appendix B, figure</w:t>
      </w:r>
      <w:r>
        <w:t xml:space="preserve"> </w:t>
      </w:r>
      <w:r>
        <w:t xml:space="preserve">7</w:t>
      </w:r>
      <w:r>
        <w:t xml:space="preserve"> </w:t>
      </w:r>
      <w:r>
        <w:t xml:space="preserve">B).</w:t>
      </w:r>
    </w:p>
    <w:p>
      <w:pPr>
        <w:pStyle w:val="Textkrper"/>
      </w:pPr>
      <w:r>
        <w:t xml:space="preserve">Except for the geometric shapes displayed on the hiding places and the respective drawing, the experimental presentation was identical for all test trials. A single trial lasted roughly 20 to 60 seconds, depending on how swiftly children chose. Each study presented four different experimental conditions with four trials each in a blocked order for a maximum of 16 test trials. Test sessions lasted about 12 minutes in total. The order of conditions was counterbalanced across participants. Children occasionally wished to stop before completing all trials, resulting in minor deviations of the total number of trials per condition that are submitted to analyses. For an overview of the average number of trials participants received in each condition, see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 </w:t>
      </w:r>
      <w:r>
        <w:t xml:space="preserve">in Appendix C. In line with the preregistration, children had to complete a minimum of eight test trials to be included in analysis. Respective exclusions are reported separately for each study.</w:t>
      </w:r>
    </w:p>
    <w:bookmarkEnd w:id="29"/>
    <w:bookmarkStart w:id="30" w:name="stimuli-and-counterbalancing"/>
    <w:p>
      <w:pPr>
        <w:pStyle w:val="berschrift2"/>
      </w:pPr>
      <w:r>
        <w:t xml:space="preserve">Stimuli and Counterbalancing</w:t>
      </w:r>
    </w:p>
    <w:p>
      <w:pPr>
        <w:pStyle w:val="FirstParagraph"/>
      </w:pPr>
      <w:r>
        <w:t xml:space="preserve">The set of studies presented here regard communication as a means for solving coordination problems. In the most simple small-world scenario an utterance or symbol, such as a graphic display, provided by a helpful interlocutor should enable an addressee to shift attention to, or help decide for one out of two options that are relevant in a particular practical context and even in the absence of conventions</w:t>
      </w:r>
      <w:r>
        <w:t xml:space="preserve"> </w:t>
      </w:r>
      <w:r>
        <w:t xml:space="preserve">(Wittgenstein, 2009)</w:t>
      </w:r>
      <w:r>
        <w:t xml:space="preserve">. For the purpose of operationalization, the context in the studies presented below is provided by the game of hide and seek and the options are two hiding places that are distinct by means of the graphic displays they are marked with. The aim was to test at what age children become able to spontaneously use graphic displays employing various dimensions of symbol-referent relationships. For this, the graphic displays presented as referents were designed to saliently differ in one relevant dimension and be as similar as possible with regard to other surface features. The referent, on the other hand, was a reduced and less straight-lined graphic display akin to a hand drawing that shares a feature with one of the referents and is thereby referring to it while it remains distinct with regard to other surface features. In any trial one of the possible referents serves as a target and the other as a distractor. For counterbalancing, a second referent was designed to refer to the other target, such that across participants the same referents serve equally often as targets and distractors. For an illustration of trial composition, see figure</w:t>
      </w:r>
      <w:r>
        <w:t xml:space="preserve"> </w:t>
      </w:r>
      <w:r>
        <w:t xml:space="preserve">8</w:t>
      </w:r>
      <w:r>
        <w:t xml:space="preserve"> </w:t>
      </w:r>
      <w:r>
        <w:t xml:space="preserve">in appendix B. For each of the conditions in the three studies below, four sets of stimuli were designed, consisting of two blue shapes serving as target or distractor, and two drawings that could serve as cues. Each condition covers a particular type of symbol-referent relationship via four stimulus versions with two variations each. For an example, consider figure</w:t>
      </w:r>
      <w:r>
        <w:t xml:space="preserve"> </w:t>
      </w:r>
      <w:r>
        <w:t xml:space="preserve">9</w:t>
      </w:r>
      <w:r>
        <w:t xml:space="preserve"> </w:t>
      </w:r>
      <w:r>
        <w:t xml:space="preserve">in appendix B. Panel (A) shows all stimuli for the</w:t>
      </w:r>
      <w:r>
        <w:t xml:space="preserve"> </w:t>
      </w:r>
      <w:r>
        <w:rPr>
          <w:i/>
          <w:iCs/>
        </w:rPr>
        <w:t xml:space="preserve">representation</w:t>
      </w:r>
      <w:r>
        <w:t xml:space="preserve"> </w:t>
      </w:r>
      <w:r>
        <w:t xml:space="preserve">condition. The first column exemplifies a set of targets (a blue square and circle) and referents (outline drawings of a square and circle). During test, participants are presented with four test trials per condition, each composed of the shapes of a single column. During testing, a child sees each trial combination only once and with only one of the two possible cues. Across children, the position (left/right) of the referents, and the identity of cues are counterbalanced.</w:t>
      </w:r>
    </w:p>
    <w:bookmarkEnd w:id="30"/>
    <w:bookmarkStart w:id="32" w:name="data-handling-and-analyses"/>
    <w:p>
      <w:pPr>
        <w:pStyle w:val="berschrift2"/>
      </w:pPr>
      <w:r>
        <w:t xml:space="preserve">Data Handling and Analyses</w:t>
      </w:r>
    </w:p>
    <w:p>
      <w:pPr>
        <w:pStyle w:val="FirstParagraph"/>
      </w:pPr>
      <w:r>
        <w:t xml:space="preserve">In each test trial participants were prompted to touch one of the two choice options. Choices were logged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condition using Widely Applicable Information Criterion (WAIC) scores and weights</w:t>
      </w:r>
      <w:r>
        <w:t xml:space="preserve"> </w:t>
      </w:r>
      <w:r>
        <w:t xml:space="preserve">(McElreath, 2018)</w:t>
      </w:r>
      <w:r>
        <w:t xml:space="preserve"> </w:t>
      </w:r>
      <w:r>
        <w:t xml:space="preserve">as well as the difference in Expected Log Predictive Density (ELPD) via the function</w:t>
      </w:r>
      <w:r>
        <w:t xml:space="preserve"> </w:t>
      </w:r>
      <w:r>
        <w:rPr>
          <w:i/>
          <w:iCs/>
        </w:rPr>
        <w:t xml:space="preserve">loo_compare</w:t>
      </w:r>
      <w:r>
        <w:t xml:space="preserve">. Furthermore, model estimates were inspected for the different predictors including their 95% Credible Interval (CrI). In each study, the condition hypothesized as the most simple was set as the reference level within conditions to make interpretation of model estimates convenient. All Bayesian models used default priors and were run in Stan (</w:t>
      </w:r>
      <w:hyperlink r:id="rId31">
        <w:r>
          <w:rPr>
            <w:rStyle w:val="Hyperlink"/>
          </w:rPr>
          <w:t xml:space="preserve">http://mc-stan.org/</w:t>
        </w:r>
      </w:hyperlink>
      <w:r>
        <w:t xml:space="preserve">) via the function brm of the package brms</w:t>
      </w:r>
      <w:r>
        <w:t xml:space="preserve"> </w:t>
      </w:r>
      <w:r>
        <w:t xml:space="preserve">(Bürkner, 2017)</w:t>
      </w:r>
      <w:r>
        <w:t xml:space="preserve">. To answer the main research question of when children as a group systematically make correct choices in any of the conditions outlined below, we use fitted models to predict the developmental trajectory (with 95% CrI) of group level performance drawn from values of the posterior predicted distribution via the function</w:t>
      </w:r>
      <w:r>
        <w:t xml:space="preserve"> </w:t>
      </w:r>
      <w:r>
        <w:rPr>
          <w:i/>
          <w:iCs/>
        </w:rPr>
        <w:t xml:space="preserve">fitted</w:t>
      </w:r>
      <w:r>
        <w:t xml:space="preserve">. These trajectories and CrIs were plotted by age. The criterion for settling when children performed above chance was the point at which the 95% CrI for a particular trajectory did no longer overlap with a midline demarcating 50% chance level. All analyses were preregistered prior to data collection. Analyses deviate from the preregistered analyses when comparing models using ELPD differences. This was simply not as common by the time of preregistration. For the convenience of the reader, we also provide conventional analyses binning participants according to their age in years. To test whether group-level performance was above chance in all experimental groups, two-tailed one-sample t-tests with the chance level set to .5 were computed and are accompanied by Cohen’s</w:t>
      </w:r>
      <w:r>
        <w:t xml:space="preserve"> </w:t>
      </w:r>
      <w:r>
        <w:rPr>
          <w:i/>
          <w:iCs/>
        </w:rPr>
        <w:t xml:space="preserve">d</w:t>
      </w:r>
      <w:r>
        <w:t xml:space="preserve"> </w:t>
      </w:r>
      <w:r>
        <w:t xml:space="preserve">as a standardized effect size for significance testing (cf. Appendix C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w:t>
      </w:r>
    </w:p>
    <w:bookmarkEnd w:id="32"/>
    <w:bookmarkEnd w:id="33"/>
    <w:bookmarkStart w:id="43" w:name="study-1"/>
    <w:p>
      <w:pPr>
        <w:pStyle w:val="berschrift1"/>
      </w:pPr>
      <w:r>
        <w:t xml:space="preserve">Study 1</w:t>
      </w:r>
    </w:p>
    <w:p>
      <w:pPr>
        <w:pStyle w:val="FirstParagraph"/>
      </w:pPr>
      <w:r>
        <w:t xml:space="preserve">Study 1 aimed to establish a baseline for children’s performance and for evaluating task demands by providing the most simple symbol-referent relationship possible, where the cue is a direct representation of the target (</w:t>
      </w:r>
      <w:r>
        <w:rPr>
          <w:i/>
          <w:iCs/>
        </w:rPr>
        <w:t xml:space="preserve">Representation</w:t>
      </w:r>
      <w:r>
        <w:t xml:space="preserve">). From this, further conditions were designed that were reducing the amount of similarity by reducing the amount of information provided (</w:t>
      </w:r>
      <w:r>
        <w:rPr>
          <w:i/>
          <w:iCs/>
        </w:rPr>
        <w:t xml:space="preserve">Pars Pro Toto</w:t>
      </w:r>
      <w:r>
        <w:t xml:space="preserve">) or reducing</w:t>
      </w:r>
    </w:p>
    <w:p>
      <w:pPr>
        <w:pStyle w:val="Textkrper"/>
      </w:pPr>
      <w:r>
        <w:t xml:space="preserve">establish a base line for all other studies</w:t>
      </w:r>
    </w:p>
    <w:p>
      <w:pPr>
        <w:pStyle w:val="Textkrper"/>
      </w:pPr>
      <w:r>
        <w:t xml:space="preserve">showing a developmental trajectory</w:t>
      </w:r>
    </w:p>
    <w:bookmarkStart w:id="34" w:name="stimuli"/>
    <w:p>
      <w:pPr>
        <w:pStyle w:val="berschrift2"/>
      </w:pPr>
      <w:r>
        <w:t xml:space="preserve">Stimuli</w:t>
      </w:r>
    </w:p>
    <w:p>
      <w:pPr>
        <w:pStyle w:val="FirstParagraph"/>
      </w:pPr>
      <w:r>
        <w:t xml:space="preserve">Basic shapes that children know () versus less canonical shapes</w:t>
      </w:r>
    </w:p>
    <w:p>
      <w:pPr>
        <w:pStyle w:val="Textkrper"/>
      </w:pPr>
      <w:r>
        <w:t xml:space="preserve">Gestalt Principles, Form Completion ()</w:t>
      </w:r>
    </w:p>
    <w:p>
      <w:pPr>
        <w:pStyle w:val="Textkrper"/>
      </w:pPr>
      <w:r>
        <w:t xml:space="preserve">Round vs edgy (bouba kiki)</w:t>
      </w:r>
    </w:p>
    <w:p>
      <w:pPr>
        <w:pStyle w:val="Textkrper"/>
      </w:pPr>
      <w:r>
        <w:t xml:space="preserve">Simple and Complex Form analogy - simpler stimulus vs more information</w:t>
      </w:r>
    </w:p>
    <w:p>
      <w:pPr>
        <w:pStyle w:val="Textkrper"/>
      </w:pPr>
      <w:r>
        <w:t xml:space="preserve">For all stimuli in Study 1, see figure</w:t>
      </w:r>
      <w:r>
        <w:t xml:space="preserve"> </w:t>
      </w:r>
      <w:r>
        <w:t xml:space="preserve">9</w:t>
      </w:r>
      <w:r>
        <w:t xml:space="preserve"> </w:t>
      </w:r>
      <w:r>
        <w:t xml:space="preserve">in appendix B.</w:t>
      </w:r>
    </w:p>
    <w:p>
      <w:pPr>
        <w:pStyle w:val="Textkrper"/>
      </w:pPr>
      <w:r>
        <w:t xml:space="preserve">• Representation (rep): the graphical cue is a direct representation of the referent</w:t>
      </w:r>
      <w:r>
        <w:t xml:space="preserve"> </w:t>
      </w:r>
      <w:r>
        <w:t xml:space="preserve">• Pars Pro Toto (pars): the graphical cue represents a part of the stimulus</w:t>
      </w:r>
    </w:p>
    <w:p>
      <w:pPr>
        <w:pStyle w:val="Textkrper"/>
      </w:pPr>
      <w:r>
        <w:t xml:space="preserve">Two further conditions aimed at abstracting from the original representations while still retain-ing characteristic features of the shapes.</w:t>
      </w:r>
    </w:p>
    <w:p>
      <w:pPr>
        <w:pStyle w:val="Textkrper"/>
      </w:pPr>
      <w:r>
        <w:t xml:space="preserve">• Simple Form Analogy (fsim): the graphical cue represents the referent by means of an analogy in form. The cue is a simple shape that is either round or</w:t>
      </w:r>
      <w:r>
        <w:t xml:space="preserve"> </w:t>
      </w:r>
      <w:r>
        <w:t xml:space="preserve">edgy pointing to either round or square referents.</w:t>
      </w:r>
      <w:r>
        <w:t xml:space="preserve"> </w:t>
      </w:r>
      <w:r>
        <w:t xml:space="preserve">• Complex Form Analogy (fcom): the graphical cue represents the referent by means of an analogy in form. The cue is a complex shape that is either round</w:t>
      </w:r>
      <w:r>
        <w:t xml:space="preserve"> </w:t>
      </w:r>
      <w:r>
        <w:t xml:space="preserve">or edgy pointing to either round or square referents.</w:t>
      </w:r>
    </w:p>
    <w:bookmarkEnd w:id="34"/>
    <w:bookmarkStart w:id="35"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they were not fluent enough in German to participate as their families had only recently migrated. Finally, 2 children had to be excluded due to technical issues. For a graphical overview of participants and exclusions across all three studies, see Appendix A figure</w:t>
      </w:r>
      <w:r>
        <w:t xml:space="preserve"> </w:t>
      </w:r>
      <w:r>
        <w:t xml:space="preserve">5</w:t>
      </w:r>
      <w:r>
        <w:t xml:space="preserve"> </w:t>
      </w:r>
      <w:r>
        <w:t xml:space="preserve">and</w:t>
      </w:r>
      <w:r>
        <w:t xml:space="preserve"> </w:t>
      </w:r>
      <w:r>
        <w:t xml:space="preserve">6</w:t>
      </w:r>
      <w:r>
        <w:t xml:space="preserve">.</w:t>
      </w:r>
    </w:p>
    <w:bookmarkEnd w:id="35"/>
    <w:bookmarkStart w:id="36" w:name="analysis"/>
    <w:p>
      <w:pPr>
        <w:pStyle w:val="berschrift2"/>
      </w:pPr>
      <w:r>
        <w:t xml:space="preserve">Analysis</w:t>
      </w:r>
    </w:p>
    <w:p>
      <w:pPr>
        <w:pStyle w:val="FirstParagraph"/>
      </w:pPr>
      <w:r>
        <w:t xml:space="preserve">A total of 1688 trials (mean per condition = 422, range: 420 - 424) from 106 participants were submitted for analysis. The full model notation was</w:t>
      </w:r>
      <w:r>
        <w:t xml:space="preserve"> </w:t>
      </w:r>
      <w:r>
        <w:rPr>
          <w:rStyle w:val="VerbatimChar"/>
        </w:rPr>
        <w:t xml:space="preserve">correct ~ condition*z.age + z.trial + sex + (z.trial | subid)</w:t>
      </w:r>
      <w:r>
        <w:t xml:space="preserve">. In addition, a null model lacking the interaction of condition and age was fitted.</w:t>
      </w:r>
    </w:p>
    <w:bookmarkEnd w:id="36"/>
    <w:bookmarkStart w:id="41" w:name="results"/>
    <w:p>
      <w:pPr>
        <w:pStyle w:val="berschrift2"/>
      </w:pPr>
      <w:r>
        <w:t xml:space="preserve">Results</w:t>
      </w:r>
    </w:p>
    <w:p>
      <w:pPr>
        <w:pStyle w:val="FirstParagraph"/>
      </w:pPr>
      <w:r>
        <w:t xml:space="preserve">Posterior predictive checks (PPC) for both full and null model indicated excellent fit of observed data and model predictions (see supplement D for more information). Comparing the models using weights based on the Widely Applicable Information Criterion (WAIC) yielded 74.21% of the model weight for the full model, and 25.79% for the null model. Hence, the full model generally has a higher probability of making accurate predictions. Directly comparing the models’ WAIC via expected log predictive density (ELPD) corroborates this (ELPD WAIC; full model = -901.30; null model = -903.69). The standard error of the difference in predictive accuracy (SE = 3.14), however is lower than the difference itself (ELPD diff = -2.38).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CrI [-1.75, -1.04) and</w:t>
      </w:r>
      <w:r>
        <w:t xml:space="preserve"> </w:t>
      </w:r>
      <w:r>
        <w:rPr>
          <w:i/>
          <w:iCs/>
        </w:rPr>
        <w:t xml:space="preserve">Complex Form Analogy</w:t>
      </w:r>
      <w:r>
        <w:t xml:space="preserve"> </w:t>
      </w:r>
      <w:r>
        <w:t xml:space="preserve">(beta = -1.36, 95% CrI [-1.73, -1.00) have a considerably lower probability of correct responses. The</w:t>
      </w:r>
      <w:r>
        <w:t xml:space="preserve"> </w:t>
      </w:r>
      <w:r>
        <w:rPr>
          <w:i/>
          <w:iCs/>
        </w:rPr>
        <w:t xml:space="preserve">Pars Pro Toto</w:t>
      </w:r>
      <w:r>
        <w:t xml:space="preserve"> </w:t>
      </w:r>
      <w:r>
        <w:t xml:space="preserve">condition has no clear difference from the reference condition (beta = -0.13, 95% CrI [-0.54, 0.28). Interaction terms between age and condition were not reliably different from zero. The developmental curves for each condition have essentially similar trajectories. Interaction effects with age were not relevant with the exception of</w:t>
      </w:r>
      <w:r>
        <w:t xml:space="preserve"> </w:t>
      </w:r>
      <w:r>
        <w:rPr>
          <w:i/>
          <w:iCs/>
        </w:rPr>
        <w:t xml:space="preserve">Pars Pro Toto</w:t>
      </w:r>
      <w:r>
        <w:t xml:space="preserve">. Here, the interaction with age was positive and just above zero (beta = 0.31, 95% CrI [-0.05, 0.66), suggesting that performance increased more steeply across the age range than in the reference condition</w:t>
      </w:r>
      <w:r>
        <w:t xml:space="preserve"> </w:t>
      </w:r>
      <w:r>
        <w:rPr>
          <w:i/>
          <w:iCs/>
        </w:rPr>
        <w:t xml:space="preserve">Representation</w:t>
      </w:r>
      <w:r>
        <w:t xml:space="preserve">. Generally, participants’ performance improved with age in all conditions (beta = 0.42, 95% CrI [0.13, 0.72). In contrast, trial number has no clear effect on performance (beta = -0.01, 95% CrI [-0.15, 0.12), suggesting no evidence for learning or fatigue throughout the test session.</w:t>
      </w:r>
    </w:p>
    <w:p>
      <w:pPr>
        <w:pStyle w:val="Textkrper"/>
      </w:pPr>
      <w:r>
        <w:t xml:space="preserve">Finally, by tracing when the lower bound of the 95% CrI exceeds the chance level of 50%, it is possible to report when children’s group level performance becomes robustly systematic in favor of the correct choice option. In study 1, children perform above chance in the</w:t>
      </w:r>
      <w:r>
        <w:t xml:space="preserve"> </w:t>
      </w:r>
      <w:r>
        <w:rPr>
          <w:i/>
          <w:iCs/>
        </w:rPr>
        <w:t xml:space="preserve">Representation</w:t>
      </w:r>
      <w:r>
        <w:t xml:space="preserve"> </w:t>
      </w:r>
      <w:r>
        <w:t xml:space="preserve">condition at least as early as 36 months, which is the lower limit of the age-range. Quickly after, at 38 months, children succeed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w:t>
      </w:r>
      <w:r>
        <w:t xml:space="preserve"> </w:t>
      </w:r>
      <w:r>
        <w:rPr>
          <w:i/>
          <w:iCs/>
        </w:rPr>
        <w:t xml:space="preserve">Complex Form Analogy</w:t>
      </w:r>
      <w:r>
        <w:t xml:space="preserve">, preschoolers meet criterion at 47 and 50 months respectively. For a side-by-side comparison of the developmental trajectories in the four conditions of study 1, see figure</w:t>
      </w:r>
      <w:r>
        <w:t xml:space="preserve"> </w:t>
      </w:r>
      <w:r>
        <w:t xml:space="preserve">2</w:t>
      </w:r>
      <w:r>
        <w:t xml:space="preserve">. For an additional conventional analysis binning participants according to their age in years, please see table</w:t>
      </w:r>
      <w:r>
        <w:t xml:space="preserve"> </w:t>
      </w:r>
      <w:r>
        <w:t xml:space="preserve">2</w:t>
      </w:r>
      <w:r>
        <w:t xml:space="preserve"> </w:t>
      </w:r>
      <w:r>
        <w:t xml:space="preserve">in appendix C.</w:t>
      </w:r>
    </w:p>
    <w:p>
      <w:pPr>
        <w:pStyle w:val="CaptionedFigure"/>
      </w:pPr>
      <w:r>
        <w:drawing>
          <wp:inline>
            <wp:extent cx="5969000" cy="2535616"/>
            <wp:effectExtent b="0" l="0" r="0" t="0"/>
            <wp:docPr descr="Figure 2: Developmental Trajectories for all Conditions in Study 1.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 title="" id="38" name="Picture"/>
            <a:graphic>
              <a:graphicData uri="http://schemas.openxmlformats.org/drawingml/2006/picture">
                <pic:pic>
                  <pic:nvPicPr>
                    <pic:cNvPr descr="../illustrations/plot_study1.png" id="39" name="Picture"/>
                    <pic:cNvPicPr>
                      <a:picLocks noChangeArrowheads="1" noChangeAspect="1"/>
                    </pic:cNvPicPr>
                  </pic:nvPicPr>
                  <pic:blipFill>
                    <a:blip r:embed="rId3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40" w:name="fig:plot-study1"/>
      <w:bookmarkEnd w:id="40"/>
      <w:r>
        <w:rPr>
          <w:i/>
          <w:iCs/>
        </w:rPr>
        <w:t xml:space="preserve">Figure</w:t>
      </w:r>
      <w:r>
        <w:t xml:space="preserve"> </w:t>
      </w:r>
      <w:r>
        <w:t xml:space="preserve">2.</w:t>
      </w:r>
      <w:r>
        <w:t xml:space="preserve"> </w:t>
      </w:r>
      <w:r>
        <w:rPr>
          <w:i/>
          <w:iCs/>
        </w:rPr>
        <w:t xml:space="preserve">Developmental Trajectories for all Conditions in Study 1.</w:t>
      </w:r>
      <w:r>
        <w:t xml:space="preserve"> </w:t>
      </w:r>
      <w:r>
        <w:t xml:space="preserve">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w:t>
      </w:r>
    </w:p>
    <w:bookmarkEnd w:id="41"/>
    <w:bookmarkStart w:id="42" w:name="discussion"/>
    <w:p>
      <w:pPr>
        <w:pStyle w:val="berschrift2"/>
      </w:pPr>
      <w:r>
        <w:t xml:space="preserve">Discussion</w:t>
      </w:r>
    </w:p>
    <w:p>
      <w:pPr>
        <w:pStyle w:val="FirstParagraph"/>
      </w:pPr>
      <w:r>
        <w:t xml:space="preserve">The condition</w:t>
      </w:r>
      <w:r>
        <w:t xml:space="preserve"> </w:t>
      </w:r>
      <w:r>
        <w:rPr>
          <w:i/>
          <w:iCs/>
        </w:rPr>
        <w:t xml:space="preserve">Representation</w:t>
      </w:r>
      <w:r>
        <w:t xml:space="preserve"> </w:t>
      </w:r>
      <w:r>
        <w:t xml:space="preserve">illustrates that</w:t>
      </w:r>
    </w:p>
    <w:p>
      <w:pPr>
        <w:pStyle w:val="Textkrper"/>
      </w:pPr>
      <w:r>
        <w:t xml:space="preserve">This shows that the task design and setup are sufficiently clear even for the youngest children in the sample, and that by three years of age children understand the pragmatics of a repre-sentational graphic cue in the context of the picture-book-style object-choice-task at hand. A second condition used the exact same stimuli, but the cues provided only half of the respec-tive figures to guide children’s choices. This representation is still extremely similar, as target and cue still have the same shape, whereas the distractor and cue have different shapes and absolutely nothing in common. Nevertheless, children solve this pars-pro-toto condition only at 40 months (Fig. 16, pars condition)</w:t>
      </w:r>
    </w:p>
    <w:p>
      <w:pPr>
        <w:pStyle w:val="Textkrper"/>
      </w:pPr>
      <w:r>
        <w:t xml:space="preserve">children are generally able to handle the task at hand</w:t>
      </w:r>
      <w:r>
        <w:t xml:space="preserve"> </w:t>
      </w:r>
      <w:r>
        <w:t xml:space="preserve">are generally able to read communicative cues</w:t>
      </w:r>
    </w:p>
    <w:p>
      <w:pPr>
        <w:pStyle w:val="Textkrper"/>
      </w:pPr>
      <w:r>
        <w:t xml:space="preserve">Performance still increases over the preschool years</w:t>
      </w:r>
    </w:p>
    <w:p>
      <w:pPr>
        <w:pStyle w:val="Textkrper"/>
      </w:pPr>
      <w:r>
        <w:t xml:space="preserve">CrIs are narrowing constantly as children’s performance becomes more uniform</w:t>
      </w:r>
    </w:p>
    <w:p>
      <w:pPr>
        <w:pStyle w:val="Textkrper"/>
      </w:pPr>
      <w:r>
        <w:t xml:space="preserve">The condition</w:t>
      </w:r>
      <w:r>
        <w:t xml:space="preserve"> </w:t>
      </w:r>
      <w:r>
        <w:rPr>
          <w:i/>
          <w:iCs/>
        </w:rPr>
        <w:t xml:space="preserve">Pars Pro Toto</w:t>
      </w:r>
      <w:r>
        <w:t xml:space="preserve"> </w:t>
      </w:r>
      <w:r>
        <w:t xml:space="preserve">provides a very interesting result. While children are generally able to solve this task relatively early,</w:t>
      </w:r>
    </w:p>
    <w:p>
      <w:pPr>
        <w:pStyle w:val="Textkrper"/>
      </w:pPr>
      <w:r>
        <w:t xml:space="preserve">The interaction with age shows that improves more quickly with age</w:t>
      </w:r>
    </w:p>
    <w:p>
      <w:pPr>
        <w:pStyle w:val="Textkrper"/>
      </w:pPr>
      <w:r>
        <w:rPr>
          <w:i/>
          <w:iCs/>
        </w:rPr>
        <w:t xml:space="preserve">Simple Form Analogy</w:t>
      </w:r>
      <w:r>
        <w:t xml:space="preserve"> </w:t>
      </w:r>
      <w:r>
        <w:t xml:space="preserve">and</w:t>
      </w:r>
      <w:r>
        <w:t xml:space="preserve"> </w:t>
      </w:r>
      <w:r>
        <w:rPr>
          <w:i/>
          <w:iCs/>
        </w:rPr>
        <w:t xml:space="preserve">Complex form Analogy</w:t>
      </w:r>
      <w:r>
        <w:t xml:space="preserve"> </w:t>
      </w:r>
      <w:r>
        <w:t xml:space="preserve">share highly similar developmental trajectories and, when considering the entire age-range, appear equally difficult for participants. However, group level success occurs slightly earlier with the more simple condition. This suggests a slight benefit of a more basic stimulus that appears to be easier to grasp.</w:t>
      </w:r>
    </w:p>
    <w:p>
      <w:pPr>
        <w:pStyle w:val="Textkrper"/>
      </w:pPr>
      <w:r>
        <w:t xml:space="preserve">Results are perfectly in line with the hypothesized developmental succesion of group level success coming to pass first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 Analogy</w:t>
      </w:r>
      <w:r>
        <w:t xml:space="preserve"> </w:t>
      </w:r>
      <w:r>
        <w:t xml:space="preserve">and</w:t>
      </w:r>
      <w:r>
        <w:t xml:space="preserve"> </w:t>
      </w:r>
      <w:r>
        <w:rPr>
          <w:i/>
          <w:iCs/>
        </w:rPr>
        <w:t xml:space="preserve">Complex Form Analogy</w:t>
      </w:r>
      <w:r>
        <w:t xml:space="preserve">.</w:t>
      </w:r>
    </w:p>
    <w:bookmarkEnd w:id="42"/>
    <w:bookmarkEnd w:id="43"/>
    <w:bookmarkStart w:id="53" w:name="study-2"/>
    <w:p>
      <w:pPr>
        <w:pStyle w:val="berschrift1"/>
      </w:pPr>
      <w:r>
        <w:t xml:space="preserve">Study 2</w:t>
      </w:r>
    </w:p>
    <w:bookmarkStart w:id="44" w:name="stimuli-1"/>
    <w:p>
      <w:pPr>
        <w:pStyle w:val="berschrift2"/>
      </w:pPr>
      <w:r>
        <w:t xml:space="preserve">Stimuli</w:t>
      </w:r>
    </w:p>
    <w:p>
      <w:pPr>
        <w:pStyle w:val="FirstParagraph"/>
      </w:pPr>
      <w:r>
        <w:t xml:space="preserve">explored whether children can infer symbol-referent relationships based on orientation and position (Fig. 17). In all of the four conditions, cue and target do not have the same shape, which further limits the influence of iconicity.</w:t>
      </w:r>
    </w:p>
    <w:p>
      <w:pPr>
        <w:pStyle w:val="Textkrper"/>
      </w:pPr>
      <w:r>
        <w:t xml:space="preserve">• Orientation of Object (orob): the graphical cue and referent have different shapes but share the same orientation (e.g. horizontal/vertical)</w:t>
      </w:r>
      <w:r>
        <w:t xml:space="preserve"> </w:t>
      </w:r>
      <w:r>
        <w:t xml:space="preserve">• Orientation of Feature (orfe): the graphical cue and referent but both have a salient feature and are pointing in the same direction</w:t>
      </w:r>
      <w:r>
        <w:t xml:space="preserve"> </w:t>
      </w:r>
      <w:r>
        <w:t xml:space="preserve">• Absolut Position (abpo): the graphical cue and referent appear in the same position on the hiding place (target) or the paper (cue) respectively</w:t>
      </w:r>
      <w:r>
        <w:t xml:space="preserve"> </w:t>
      </w:r>
      <w:r>
        <w:t xml:space="preserve">• Relative Position (repo): the graphical cue and referent consist of two shapes that are either close or apart, or align horizontally or vertically</w:t>
      </w:r>
    </w:p>
    <w:p>
      <w:pPr>
        <w:pStyle w:val="Textkrper"/>
      </w:pPr>
      <w:r>
        <w:t xml:space="preserve">The first condition used elongated shapes that are oriented either horizontally or vertically. Cue and target share the same angle of orientation.</w:t>
      </w:r>
    </w:p>
    <w:p>
      <w:pPr>
        <w:pStyle w:val="Textkrper"/>
      </w:pPr>
      <w:r>
        <w:t xml:space="preserve">For all stimuli in Study 2, see figure</w:t>
      </w:r>
      <w:r>
        <w:t xml:space="preserve"> </w:t>
      </w:r>
      <w:r>
        <w:t xml:space="preserve">10</w:t>
      </w:r>
      <w:r>
        <w:t xml:space="preserve"> </w:t>
      </w:r>
      <w:r>
        <w:t xml:space="preserve">in appendix B.</w:t>
      </w:r>
    </w:p>
    <w:bookmarkEnd w:id="44"/>
    <w:bookmarkStart w:id="45"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a total of 13 children (6 female) were tested but excluded from analysis for failing familiarization (N = 9), being fussy (N = 1), not being fluent enough in German to follow the instructions (N = 1) or due to technical issues (N = 2).</w:t>
      </w:r>
    </w:p>
    <w:bookmarkEnd w:id="45"/>
    <w:bookmarkStart w:id="46" w:name="analysis-1"/>
    <w:p>
      <w:pPr>
        <w:pStyle w:val="berschrift2"/>
      </w:pPr>
      <w:r>
        <w:t xml:space="preserve">Analysis</w:t>
      </w:r>
    </w:p>
    <w:p>
      <w:pPr>
        <w:pStyle w:val="FirstParagraph"/>
      </w:pPr>
      <w:r>
        <w:t xml:space="preserve">A total of 1561 trials (mean per condition = 390.25, range: 388 - 393) from 99 participants were submitted for analysis. The full model notation was</w:t>
      </w:r>
      <w:r>
        <w:t xml:space="preserve"> </w:t>
      </w:r>
      <w:r>
        <w:rPr>
          <w:rStyle w:val="VerbatimChar"/>
        </w:rPr>
        <w:t xml:space="preserve">correct ~ condition*z.age + z.trial + sex + (z.trial | subid)</w:t>
      </w:r>
      <w:r>
        <w:t xml:space="preserve">. In addition, a null model lacking the interaction of condition and age was fitted.</w:t>
      </w:r>
    </w:p>
    <w:bookmarkEnd w:id="46"/>
    <w:bookmarkStart w:id="51" w:name="results-1"/>
    <w:p>
      <w:pPr>
        <w:pStyle w:val="berschrift2"/>
      </w:pPr>
      <w:r>
        <w:t xml:space="preserve">Results</w:t>
      </w:r>
    </w:p>
    <w:p>
      <w:pPr>
        <w:pStyle w:val="FirstParagraph"/>
      </w:pPr>
      <w:r>
        <w:t xml:space="preserve">For both full and null model, PPCs indicate excellent fit of observed data and model predictions. To compare model performance, we evaluated the WAIC estimates. The null model showed a slightly better predictive performance (ELPD = -887.99) compared to the full model (ELPD = -889.73). WAIC values also indicate better performance of the null model (WAIC = 1,775.99) over the full model (WAIC = 1,779.45). However, the difference between models (ELPD Diff = -1.73) falls within the bounds of uncertainty (SE = 1.74), suggesting no advantage in predictive accuracy. Hence, the preregistered analyses using the full model is reported below.</w:t>
      </w:r>
    </w:p>
    <w:p>
      <w:pPr>
        <w:pStyle w:val="Textkrper"/>
      </w:pPr>
      <w:r>
        <w:t xml:space="preserve">Across all conditions, performance improved with both age (beta = 0.40, 95% CrI [0.14, 0.68) and slightly with trial number (beta = 0.26, 95% CrI [0.10, 0.43). Relative to</w:t>
      </w:r>
      <w:r>
        <w:t xml:space="preserve"> </w:t>
      </w:r>
      <w:r>
        <w:rPr>
          <w:i/>
          <w:iCs/>
        </w:rPr>
        <w:t xml:space="preserve">Absolute Position</w:t>
      </w:r>
      <w:r>
        <w:t xml:space="preserve">, children were generally less likely to correctly solve</w:t>
      </w:r>
      <w:r>
        <w:t xml:space="preserve"> </w:t>
      </w:r>
      <w:r>
        <w:rPr>
          <w:i/>
          <w:iCs/>
        </w:rPr>
        <w:t xml:space="preserve">Relative Position</w:t>
      </w:r>
      <w:r>
        <w:t xml:space="preserve"> </w:t>
      </w:r>
      <w:r>
        <w:t xml:space="preserve">(beta = -0.28, 95% CrI [-0.64, 0.09). Performance in</w:t>
      </w:r>
      <w:r>
        <w:t xml:space="preserve"> </w:t>
      </w:r>
      <w:r>
        <w:rPr>
          <w:i/>
          <w:iCs/>
        </w:rPr>
        <w:t xml:space="preserve">Orientation of Object</w:t>
      </w:r>
      <w:r>
        <w:t xml:space="preserve"> </w:t>
      </w:r>
      <w:r>
        <w:t xml:space="preserve">(beta = -0.10, 95% CrI [-0.47, 0.28) and</w:t>
      </w:r>
      <w:r>
        <w:t xml:space="preserve"> </w:t>
      </w:r>
      <w:r>
        <w:rPr>
          <w:i/>
          <w:iCs/>
        </w:rPr>
        <w:t xml:space="preserve">Orientation of Feature</w:t>
      </w:r>
      <w:r>
        <w:t xml:space="preserve"> </w:t>
      </w:r>
      <w:r>
        <w:t xml:space="preserve">(beta = -0.12, 95% CrI [-0.49, 0.24) was not substantially different from the reference category when considering the full age range. Interaction terms between age and condition, including</w:t>
      </w:r>
      <w:r>
        <w:t xml:space="preserve"> </w:t>
      </w:r>
      <w:r>
        <w:rPr>
          <w:i/>
          <w:iCs/>
        </w:rPr>
        <w:t xml:space="preserve">Relative Position</w:t>
      </w:r>
      <w:r>
        <w:t xml:space="preserve"> </w:t>
      </w:r>
      <w:r>
        <w:t xml:space="preserve">and age (beta = -0.05), were not credibly different from zero, suggesting similar developmental patterns for all conditions. Tracing the lower bound of the 95% CrI against the 50% chance level (cf. figure</w:t>
      </w:r>
      <w:r>
        <w:t xml:space="preserve"> </w:t>
      </w:r>
      <w:r>
        <w:t xml:space="preserve">3</w:t>
      </w:r>
      <w:r>
        <w:t xml:space="preserve">), the model establishes that children master the condition</w:t>
      </w:r>
      <w:r>
        <w:t xml:space="preserve"> </w:t>
      </w:r>
      <w:r>
        <w:rPr>
          <w:i/>
          <w:iCs/>
        </w:rPr>
        <w:t xml:space="preserve">Absolute Position</w:t>
      </w:r>
      <w:r>
        <w:t xml:space="preserve"> </w:t>
      </w:r>
      <w:r>
        <w:t xml:space="preserve">at 44 months, making it the easiest task in study 2. Then in quick succession, children succeed in</w:t>
      </w:r>
      <w:r>
        <w:t xml:space="preserve"> </w:t>
      </w:r>
      <w:r>
        <w:rPr>
          <w:i/>
          <w:iCs/>
        </w:rPr>
        <w:t xml:space="preserve">Orientation of Feature</w:t>
      </w:r>
      <w:r>
        <w:t xml:space="preserve"> </w:t>
      </w:r>
      <w:r>
        <w:t xml:space="preserve">at 47 months,</w:t>
      </w:r>
      <w:r>
        <w:t xml:space="preserve"> </w:t>
      </w:r>
      <w:r>
        <w:rPr>
          <w:i/>
          <w:iCs/>
        </w:rPr>
        <w:t xml:space="preserve">Relative Position</w:t>
      </w:r>
      <w:r>
        <w:t xml:space="preserve"> </w:t>
      </w:r>
      <w:r>
        <w:t xml:space="preserve">at 49 months and</w:t>
      </w:r>
      <w:r>
        <w:t xml:space="preserve"> </w:t>
      </w:r>
      <w:r>
        <w:rPr>
          <w:i/>
          <w:iCs/>
        </w:rPr>
        <w:t xml:space="preserve">Orientation of Object</w:t>
      </w:r>
      <w:r>
        <w:t xml:space="preserve"> </w:t>
      </w:r>
      <w:r>
        <w:t xml:space="preserve">at 50 months. For a side-by-side comparison of the developmental trajectories, see figure</w:t>
      </w:r>
      <w:r>
        <w:t xml:space="preserve"> </w:t>
      </w:r>
      <w:r>
        <w:t xml:space="preserve">3</w:t>
      </w:r>
      <w:r>
        <w:t xml:space="preserve">. For an additional conventional analysis binning participants according to their age in years, see table</w:t>
      </w:r>
      <w:r>
        <w:t xml:space="preserve"> </w:t>
      </w:r>
      <w:r>
        <w:t xml:space="preserve">4</w:t>
      </w:r>
      <w:r>
        <w:t xml:space="preserve"> </w:t>
      </w:r>
      <w:r>
        <w:t xml:space="preserve">in appendix C.</w:t>
      </w:r>
    </w:p>
    <w:p>
      <w:pPr>
        <w:pStyle w:val="CaptionedFigure"/>
      </w:pPr>
      <w:r>
        <w:drawing>
          <wp:inline>
            <wp:extent cx="5969000" cy="2535616"/>
            <wp:effectExtent b="0" l="0" r="0" t="0"/>
            <wp:docPr descr="Figure 3: Developmental Trajectories for all Conditions in Study 2.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 title="" id="48" name="Picture"/>
            <a:graphic>
              <a:graphicData uri="http://schemas.openxmlformats.org/drawingml/2006/picture">
                <pic:pic>
                  <pic:nvPicPr>
                    <pic:cNvPr descr="../illustrations/plot_study2.png" id="49" name="Picture"/>
                    <pic:cNvPicPr>
                      <a:picLocks noChangeArrowheads="1" noChangeAspect="1"/>
                    </pic:cNvPicPr>
                  </pic:nvPicPr>
                  <pic:blipFill>
                    <a:blip r:embed="rId4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50" w:name="fig:plot-study2"/>
      <w:bookmarkEnd w:id="50"/>
      <w:r>
        <w:rPr>
          <w:i/>
          <w:iCs/>
        </w:rPr>
        <w:t xml:space="preserve">Figure</w:t>
      </w:r>
      <w:r>
        <w:t xml:space="preserve"> </w:t>
      </w:r>
      <w:r>
        <w:t xml:space="preserve">3.</w:t>
      </w:r>
      <w:r>
        <w:t xml:space="preserve"> </w:t>
      </w:r>
      <w:r>
        <w:rPr>
          <w:i/>
          <w:iCs/>
        </w:rPr>
        <w:t xml:space="preserve">Developmental Trajectories for all Conditions in Study 2.</w:t>
      </w:r>
      <w:r>
        <w:t xml:space="preserve"> </w:t>
      </w:r>
      <w:r>
        <w:t xml:space="preserve">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w:t>
      </w:r>
    </w:p>
    <w:bookmarkEnd w:id="51"/>
    <w:bookmarkStart w:id="52" w:name="discussion-1"/>
    <w:p>
      <w:pPr>
        <w:pStyle w:val="berschrift2"/>
      </w:pPr>
      <w:r>
        <w:t xml:space="preserve">Discussion</w:t>
      </w:r>
    </w:p>
    <w:p>
      <w:pPr>
        <w:pStyle w:val="FirstParagraph"/>
      </w:pPr>
      <w:r>
        <w:t xml:space="preserve">In a more abstract condition, the cues and targets have a feature like a bump or an opening that is oriented either up- or downward (Fig. 17, orfe condition). Crucially, the cues’ feature is never oriented towards either target, as this would replicate study A3 and might have been read as an unconventional arrow. Orientation of feature is solved already at 46 months (Fig. 19). In the third condition, the position of the cue and the target align within their respective reference frame (paper; box). Thus, a symbol-referent position is established by their abso-lute position in the context they occur in (Fig. 17, condition abpo). Here children succeed at 42 months of age. By contrast, the fourth condition uses the relative position (repo) of the sym-bols. The target and cue are composed of two figures each that are either closer together or wider apart, while using different shapes for cue and the target and distractor respectively. Here children succeed later at 49 months of age (Fig. 19, condition repo). This is interesting as the position conditions require children to identify relations (absolute position – fig-ure/ground; relative position – figure/figure).</w:t>
      </w:r>
    </w:p>
    <w:p>
      <w:pPr>
        <w:pStyle w:val="Textkrper"/>
      </w:pPr>
      <w:r>
        <w:t xml:space="preserve">We hypothesize that children will succeed earlier with orob than orfe and earlier with apbo than with repo.</w:t>
      </w:r>
    </w:p>
    <w:p>
      <w:pPr>
        <w:pStyle w:val="Textkrper"/>
      </w:pPr>
      <w:r>
        <w:t xml:space="preserve">Arguably, all four of these conditions have an iconic aspect to them with regard to the overall gestalt of the displays. Study B3, thus, set out to further reduce the amount of iconicity by drawing size and number analogies (Fig. 20).</w:t>
      </w:r>
    </w:p>
    <w:bookmarkEnd w:id="52"/>
    <w:bookmarkEnd w:id="53"/>
    <w:bookmarkStart w:id="63" w:name="study-3"/>
    <w:p>
      <w:pPr>
        <w:pStyle w:val="berschrift1"/>
      </w:pPr>
      <w:r>
        <w:t xml:space="preserve">Study 3</w:t>
      </w:r>
    </w:p>
    <w:p>
      <w:pPr>
        <w:pStyle w:val="FirstParagraph"/>
      </w:pPr>
      <w:r>
        <w:t xml:space="preserve">General note on the aim of the investigation</w:t>
      </w:r>
    </w:p>
    <w:bookmarkStart w:id="54" w:name="stimuli-2"/>
    <w:p>
      <w:pPr>
        <w:pStyle w:val="berschrift2"/>
      </w:pPr>
      <w:r>
        <w:t xml:space="preserve">Stimuli</w:t>
      </w:r>
    </w:p>
    <w:p>
      <w:pPr>
        <w:pStyle w:val="FirstParagraph"/>
      </w:pPr>
      <w:r>
        <w:t xml:space="preserve">The first condition in Study B3 uses different shapes for cue and target/distractor. Stimuli have almost nothing in common except for being either large or small with regard to the reference frame</w:t>
      </w:r>
    </w:p>
    <w:p>
      <w:pPr>
        <w:pStyle w:val="Textkrper"/>
      </w:pPr>
      <w:r>
        <w:t xml:space="preserve">• Size of object (siob): the graphical cue refers to the target by means of an analogy in size</w:t>
      </w:r>
      <w:r>
        <w:t xml:space="preserve"> </w:t>
      </w:r>
      <w:r>
        <w:t xml:space="preserve">• Size of feature (sife): the graphical cue refers to a salient feature of the target by means of an analogy in size</w:t>
      </w:r>
      <w:r>
        <w:t xml:space="preserve"> </w:t>
      </w:r>
      <w:r>
        <w:t xml:space="preserve">• Number of objects (nuob): the graphical cue refers to the target by means of an analogy in number</w:t>
      </w:r>
      <w:r>
        <w:t xml:space="preserve"> </w:t>
      </w:r>
      <w:r>
        <w:t xml:space="preserve">• Number of features (nufe): the graphical cue refers to a salient feature of the target by means of an analogy in number</w:t>
      </w:r>
    </w:p>
    <w:p>
      <w:pPr>
        <w:pStyle w:val="Textkrper"/>
      </w:pPr>
      <w:r>
        <w:t xml:space="preserve">For all stimuli in Study 3, see figure</w:t>
      </w:r>
      <w:r>
        <w:t xml:space="preserve"> </w:t>
      </w:r>
      <w:r>
        <w:t xml:space="preserve">11</w:t>
      </w:r>
      <w:r>
        <w:t xml:space="preserve"> </w:t>
      </w:r>
      <w:r>
        <w:t xml:space="preserve">in appendix B.</w:t>
      </w:r>
    </w:p>
    <w:bookmarkEnd w:id="54"/>
    <w:bookmarkStart w:id="55"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Further exclusions were necessary due to language problems (N = 4) and technical issues (N = 3).</w:t>
      </w:r>
    </w:p>
    <w:bookmarkEnd w:id="55"/>
    <w:bookmarkStart w:id="56" w:name="analysis-2"/>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w:r>
        <w:rPr>
          <w:rStyle w:val="VerbatimChar"/>
        </w:rPr>
        <w:t xml:space="preserve">correct ~ condition*z.age + z.trial + sex + (z.trial | subid)</w:t>
      </w:r>
      <w:r>
        <w:t xml:space="preserve">) and a null model lacking the interaction of condition and age.</w:t>
      </w:r>
    </w:p>
    <w:bookmarkEnd w:id="56"/>
    <w:bookmarkStart w:id="61" w:name="results-2"/>
    <w:p>
      <w:pPr>
        <w:pStyle w:val="berschrift2"/>
      </w:pPr>
      <w:r>
        <w:t xml:space="preserve">Results</w:t>
      </w:r>
    </w:p>
    <w:p>
      <w:pPr>
        <w:pStyle w:val="FirstParagraph"/>
      </w:pPr>
      <w:r>
        <w:t xml:space="preserve">PPCs indicated excellent fit of observed data and model predictions in both models. When comparing performance, the full model showed a better fit (ELPD = -941.74) relative to the null model (ELPD = -946.09). The WAIC values also favored the full model (WAIC = 1,883.49) over the null model (WAIC = 1,892.19). Despite the slightly lower WAIC and higher ELPD of the full model, the difference in predictive accuracy (ELPD Diff = -4.35) remains almost within the range of sampling uncertainty (SE = 3.96). In the absence of substantial differences, the full model is reported below in line with the preregistration.</w:t>
      </w:r>
    </w:p>
    <w:p>
      <w:pPr>
        <w:pStyle w:val="Textkrper"/>
      </w:pPr>
      <w:r>
        <w:t xml:space="preserve">Overall, children’s performance increased with age (beta = 0.70, 95% CrI [0.44, 0.97) and with trial number (beta = 0.21, 95% CrI [0.07, 0.36), indicating general improvement across development and time-on-task. Relative to</w:t>
      </w:r>
      <w:r>
        <w:t xml:space="preserve"> </w:t>
      </w:r>
      <w:r>
        <w:rPr>
          <w:i/>
          <w:iCs/>
        </w:rPr>
        <w:t xml:space="preserve">Size of Object</w:t>
      </w:r>
      <w:r>
        <w:t xml:space="preserve">, participants were substantially less accurate in</w:t>
      </w:r>
      <w:r>
        <w:t xml:space="preserve"> </w:t>
      </w:r>
      <w:r>
        <w:rPr>
          <w:i/>
          <w:iCs/>
        </w:rPr>
        <w:t xml:space="preserve">Size of Feature</w:t>
      </w:r>
      <w:r>
        <w:t xml:space="preserve"> </w:t>
      </w:r>
      <w:r>
        <w:t xml:space="preserve">(beta = -0.71, 95% CrI [-1.07, -0.37). A smaller, marginal effect was observed in</w:t>
      </w:r>
      <w:r>
        <w:t xml:space="preserve"> </w:t>
      </w:r>
      <w:r>
        <w:rPr>
          <w:i/>
          <w:iCs/>
        </w:rPr>
        <w:t xml:space="preserve">Number of Feature</w:t>
      </w:r>
      <w:r>
        <w:t xml:space="preserve"> </w:t>
      </w:r>
      <w:r>
        <w:t xml:space="preserve">(beta = -0.31, 95% CrI [-0.67, 0.03), while</w:t>
      </w:r>
      <w:r>
        <w:t xml:space="preserve"> </w:t>
      </w:r>
      <w:r>
        <w:rPr>
          <w:i/>
          <w:iCs/>
        </w:rPr>
        <w:t xml:space="preserve">Number of Object</w:t>
      </w:r>
      <w:r>
        <w:t xml:space="preserve"> </w:t>
      </w:r>
      <w:r>
        <w:t xml:space="preserve">(beta = -0.08, 95% CrI [-0.44, 0.27) did not differ reliably from</w:t>
      </w:r>
      <w:r>
        <w:t xml:space="preserve"> </w:t>
      </w:r>
      <w:r>
        <w:rPr>
          <w:i/>
          <w:iCs/>
        </w:rPr>
        <w:t xml:space="preserve">Size of Object</w:t>
      </w:r>
      <w:r>
        <w:t xml:space="preserve">. Age moderated performance less strongly in</w:t>
      </w:r>
      <w:r>
        <w:t xml:space="preserve"> </w:t>
      </w:r>
      <w:r>
        <w:rPr>
          <w:i/>
          <w:iCs/>
        </w:rPr>
        <w:t xml:space="preserve">Size of Feature</w:t>
      </w:r>
      <w:r>
        <w:t xml:space="preserve"> </w:t>
      </w:r>
      <w:r>
        <w:t xml:space="preserve">(beta = -0.50) and</w:t>
      </w:r>
      <w:r>
        <w:t xml:space="preserve"> </w:t>
      </w:r>
      <w:r>
        <w:rPr>
          <w:i/>
          <w:iCs/>
        </w:rPr>
        <w:t xml:space="preserve">Number of Feature</w:t>
      </w:r>
      <w:r>
        <w:t xml:space="preserve"> </w:t>
      </w:r>
      <w:r>
        <w:t xml:space="preserve">(beta = -0.28), suggesting lower developmental gains compared to</w:t>
      </w:r>
      <w:r>
        <w:t xml:space="preserve"> </w:t>
      </w:r>
      <w:r>
        <w:rPr>
          <w:i/>
          <w:iCs/>
        </w:rPr>
        <w:t xml:space="preserve">Size of Object</w:t>
      </w:r>
      <w:r>
        <w:t xml:space="preserve">. Generally, the conditions relying on feature-based reference are associated with lower overall performance and weaker developmental gains. The best overview of the relative performance across conditions is provided by plotting the model estimates (cf. figure</w:t>
      </w:r>
      <w:r>
        <w:t xml:space="preserve"> </w:t>
      </w:r>
      <w:r>
        <w:t xml:space="preserve">4</w:t>
      </w:r>
      <w:r>
        <w:t xml:space="preserve">). Children succeed in most conditions just after the fourth birthday. Model estimates indicate group level success in</w:t>
      </w:r>
      <w:r>
        <w:t xml:space="preserve"> </w:t>
      </w:r>
      <w:r>
        <w:rPr>
          <w:i/>
          <w:iCs/>
        </w:rPr>
        <w:t xml:space="preserve">Size of Object</w:t>
      </w:r>
      <w:r>
        <w:t xml:space="preserve"> </w:t>
      </w:r>
      <w:r>
        <w:t xml:space="preserve">at 49 months,</w:t>
      </w:r>
      <w:r>
        <w:t xml:space="preserve"> </w:t>
      </w:r>
      <w:r>
        <w:rPr>
          <w:i/>
          <w:iCs/>
        </w:rPr>
        <w:t xml:space="preserve">Number of Object</w:t>
      </w:r>
      <w:r>
        <w:t xml:space="preserve"> </w:t>
      </w:r>
      <w:r>
        <w:t xml:space="preserve">at 50 months, and</w:t>
      </w:r>
      <w:r>
        <w:t xml:space="preserve"> </w:t>
      </w:r>
      <w:r>
        <w:rPr>
          <w:i/>
          <w:iCs/>
        </w:rPr>
        <w:t xml:space="preserve">Number of Feature</w:t>
      </w:r>
      <w:r>
        <w:t xml:space="preserve"> </w:t>
      </w:r>
      <w:r>
        <w:t xml:space="preserve">at 50 months. The exception to this pattern is</w:t>
      </w:r>
      <w:r>
        <w:t xml:space="preserve"> </w:t>
      </w:r>
      <w:r>
        <w:rPr>
          <w:i/>
          <w:iCs/>
        </w:rPr>
        <w:t xml:space="preserve">Size of Feature</w:t>
      </w:r>
      <w:r>
        <w:t xml:space="preserve"> </w:t>
      </w:r>
      <w:r>
        <w:t xml:space="preserve">where children master the task no sooner than 59 months of age. For an alternative analyses binning children by year of age, please see table</w:t>
      </w:r>
      <w:r>
        <w:t xml:space="preserve"> </w:t>
      </w:r>
      <w:r>
        <w:t xml:space="preserve">6</w:t>
      </w:r>
      <w:r>
        <w:t xml:space="preserve"> </w:t>
      </w:r>
      <w:r>
        <w:t xml:space="preserve">in appendix C.</w:t>
      </w:r>
    </w:p>
    <w:p>
      <w:pPr>
        <w:pStyle w:val="CaptionedFigure"/>
      </w:pPr>
      <w:r>
        <w:drawing>
          <wp:inline>
            <wp:extent cx="5969000" cy="2535616"/>
            <wp:effectExtent b="0" l="0" r="0" t="0"/>
            <wp:docPr descr="Figure 4: Developmental Trajectories for all Conditions in Study 3.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 title="" id="58" name="Picture"/>
            <a:graphic>
              <a:graphicData uri="http://schemas.openxmlformats.org/drawingml/2006/picture">
                <pic:pic>
                  <pic:nvPicPr>
                    <pic:cNvPr descr="../illustrations/plot_study3.png" id="59" name="Picture"/>
                    <pic:cNvPicPr>
                      <a:picLocks noChangeArrowheads="1" noChangeAspect="1"/>
                    </pic:cNvPicPr>
                  </pic:nvPicPr>
                  <pic:blipFill>
                    <a:blip r:embed="rId5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60" w:name="fig:plot-study3"/>
      <w:bookmarkEnd w:id="60"/>
      <w:r>
        <w:rPr>
          <w:i/>
          <w:iCs/>
        </w:rPr>
        <w:t xml:space="preserve">Figure</w:t>
      </w:r>
      <w:r>
        <w:t xml:space="preserve"> </w:t>
      </w:r>
      <w:r>
        <w:t xml:space="preserve">4.</w:t>
      </w:r>
      <w:r>
        <w:t xml:space="preserve"> </w:t>
      </w:r>
      <w:r>
        <w:rPr>
          <w:i/>
          <w:iCs/>
        </w:rPr>
        <w:t xml:space="preserve">Developmental Trajectories for all Conditions in Study 3.</w:t>
      </w:r>
      <w:r>
        <w:t xml:space="preserve"> </w:t>
      </w:r>
      <w:r>
        <w:t xml:space="preserve">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w:t>
      </w:r>
    </w:p>
    <w:bookmarkEnd w:id="61"/>
    <w:bookmarkStart w:id="62" w:name="discussion-2"/>
    <w:p>
      <w:pPr>
        <w:pStyle w:val="berschrift2"/>
      </w:pPr>
      <w:r>
        <w:t xml:space="preserve">Discussion</w:t>
      </w:r>
    </w:p>
    <w:p>
      <w:pPr>
        <w:pStyle w:val="FirstParagraph"/>
      </w:pPr>
      <w:r>
        <w:t xml:space="preserve">We hypothesize that children will succeed earlier with analogies in size than in number, and that children will succeed earlier when cues refer to the</w:t>
      </w:r>
      <w:r>
        <w:t xml:space="preserve"> </w:t>
      </w:r>
      <w:r>
        <w:t xml:space="preserve">objects per se rather than salient features.</w:t>
      </w:r>
    </w:p>
    <w:bookmarkEnd w:id="62"/>
    <w:bookmarkEnd w:id="63"/>
    <w:bookmarkStart w:id="64" w:name="additional-analyses"/>
    <w:p>
      <w:pPr>
        <w:pStyle w:val="berschrift1"/>
      </w:pPr>
      <w:r>
        <w:t xml:space="preserve">Additional Analyses</w:t>
      </w:r>
    </w:p>
    <w:p>
      <w:pPr>
        <w:pStyle w:val="FirstParagraph"/>
      </w:pPr>
      <w:r>
        <w:t xml:space="preserve">An additional exploratory analysis will include a random effect for item level effects (Model: correct ~ task*z.age +z.trial +z.sex +(z.trial|id) +(z.age|item)). Results will help to evaluate the equivalence of items within a task and be reported in the supplements. Due to the low number of individual items within a task we expect this model to be less diagnostic with regard to our main research question and, therefore, will not include the term in the main analysis.</w:t>
      </w:r>
    </w:p>
    <w:bookmarkEnd w:id="64"/>
    <w:bookmarkStart w:id="65" w:name="discussion-3"/>
    <w:p>
      <w:pPr>
        <w:pStyle w:val="berschrift1"/>
      </w:pPr>
      <w:r>
        <w:t xml:space="preserve">Discussion</w:t>
      </w:r>
    </w:p>
    <w:p>
      <w:pPr>
        <w:pStyle w:val="FirstParagraph"/>
      </w:pPr>
      <w:r>
        <w:t xml:space="preserve">See googledocs for drafts of the intro and discussion</w:t>
      </w:r>
    </w:p>
    <w:p>
      <w:r>
        <w:br w:type="page"/>
      </w:r>
    </w:p>
    <w:bookmarkEnd w:id="65"/>
    <w:bookmarkStart w:id="71" w:name="references"/>
    <w:p>
      <w:pPr>
        <w:pStyle w:val="berschrift1"/>
      </w:pPr>
      <w:r>
        <w:t xml:space="preserve">References</w:t>
      </w:r>
    </w:p>
    <w:bookmarkStart w:id="70" w:name="refs"/>
    <w:bookmarkStart w:id="66"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66"/>
    <w:bookmarkStart w:id="67"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67"/>
    <w:bookmarkStart w:id="68" w:name="ref-mcelreath2018statistical"/>
    <w:p>
      <w:pPr>
        <w:pStyle w:val="Literaturverzeichnis"/>
      </w:pPr>
      <w:r>
        <w:t xml:space="preserve">McElreath, R. (2018).</w:t>
      </w:r>
      <w:r>
        <w:t xml:space="preserve"> </w:t>
      </w:r>
      <w:r>
        <w:rPr>
          <w:i/>
          <w:iCs/>
        </w:rPr>
        <w:t xml:space="preserve">Statistical rethinking: A bayesian course with examples in r and stan</w:t>
      </w:r>
      <w:r>
        <w:t xml:space="preserve">. Chapman; Hall/CRC.</w:t>
      </w:r>
    </w:p>
    <w:bookmarkEnd w:id="68"/>
    <w:bookmarkStart w:id="69" w:name="ref-wittgenstein2009philosophical"/>
    <w:p>
      <w:pPr>
        <w:pStyle w:val="Literaturverzeichnis"/>
      </w:pPr>
      <w:r>
        <w:t xml:space="preserve">Wittgenstein, L. (2009).</w:t>
      </w:r>
      <w:r>
        <w:t xml:space="preserve"> </w:t>
      </w:r>
      <w:r>
        <w:rPr>
          <w:i/>
          <w:iCs/>
        </w:rPr>
        <w:t xml:space="preserve">Philosophical investigations</w:t>
      </w:r>
      <w:r>
        <w:t xml:space="preserve">. John Wiley &amp; Sons.</w:t>
      </w:r>
    </w:p>
    <w:bookmarkEnd w:id="69"/>
    <w:bookmarkEnd w:id="70"/>
    <w:p>
      <w:r>
        <w:br w:type="page"/>
      </w:r>
    </w:p>
    <w:bookmarkEnd w:id="71"/>
    <w:bookmarkStart w:id="80" w:name="appendix-a---participants-and-exclusions"/>
    <w:p>
      <w:pPr>
        <w:pStyle w:val="berschrift1"/>
      </w:pPr>
      <w:r>
        <w:t xml:space="preserve">Appendix A - Participants and Exclusions</w:t>
      </w:r>
    </w:p>
    <w:p>
      <w:pPr>
        <w:pStyle w:val="CaptionedFigure"/>
      </w:pPr>
      <w:r>
        <w:drawing>
          <wp:inline>
            <wp:extent cx="4775200" cy="1954342"/>
            <wp:effectExtent b="0" l="0" r="0" t="0"/>
            <wp:docPr descr="Figure 5: Distribution of Participants across the age-range in all three studies. Dots represent individuals. Colors indicate their respective sex." title="" id="73" name="Picture"/>
            <a:graphic>
              <a:graphicData uri="http://schemas.openxmlformats.org/drawingml/2006/picture">
                <pic:pic>
                  <pic:nvPicPr>
                    <pic:cNvPr descr="../illustrations/plot_supp_participants_S123.png" id="74" name="Picture"/>
                    <pic:cNvPicPr>
                      <a:picLocks noChangeArrowheads="1" noChangeAspect="1"/>
                    </pic:cNvPicPr>
                  </pic:nvPicPr>
                  <pic:blipFill>
                    <a:blip r:embed="rId72"/>
                    <a:stretch>
                      <a:fillRect/>
                    </a:stretch>
                  </pic:blipFill>
                  <pic:spPr bwMode="auto">
                    <a:xfrm>
                      <a:off x="0" y="0"/>
                      <a:ext cx="4775200" cy="1954342"/>
                    </a:xfrm>
                    <a:prstGeom prst="rect">
                      <a:avLst/>
                    </a:prstGeom>
                    <a:noFill/>
                    <a:ln w="9525">
                      <a:noFill/>
                      <a:headEnd/>
                      <a:tailEnd/>
                    </a:ln>
                  </pic:spPr>
                </pic:pic>
              </a:graphicData>
            </a:graphic>
          </wp:inline>
        </w:drawing>
      </w:r>
    </w:p>
    <w:p>
      <w:pPr>
        <w:pStyle w:val="ImageCaption"/>
      </w:pPr>
      <w:bookmarkStart w:id="75" w:name="fig:suppl-participants-dots"/>
      <w:bookmarkEnd w:id="75"/>
      <w:r>
        <w:rPr>
          <w:i/>
          <w:iCs/>
        </w:rPr>
        <w:t xml:space="preserve">Figure</w:t>
      </w:r>
      <w:r>
        <w:t xml:space="preserve"> </w:t>
      </w:r>
      <w:r>
        <w:t xml:space="preserve">5. Distribution of Participants across the age-range in all three studies. Dots represent individuals. Colors indicate their respective sex.</w:t>
      </w:r>
    </w:p>
    <w:p>
      <w:pPr>
        <w:pStyle w:val="CaptionedFigure"/>
      </w:pPr>
      <w:r>
        <w:drawing>
          <wp:inline>
            <wp:extent cx="4178300" cy="2438725"/>
            <wp:effectExtent b="0" l="0" r="0" t="0"/>
            <wp:docPr descr="Figure 6: Distribution of Exclusions across the age-range in all three studies. Dots represent individuals. Colors indicate why children where not submitted to analyses." title="" id="77" name="Picture"/>
            <a:graphic>
              <a:graphicData uri="http://schemas.openxmlformats.org/drawingml/2006/picture">
                <pic:pic>
                  <pic:nvPicPr>
                    <pic:cNvPr descr="../illustrations/plot_supp_exclusions_S123.png" id="78" name="Picture"/>
                    <pic:cNvPicPr>
                      <a:picLocks noChangeArrowheads="1" noChangeAspect="1"/>
                    </pic:cNvPicPr>
                  </pic:nvPicPr>
                  <pic:blipFill>
                    <a:blip r:embed="rId76"/>
                    <a:stretch>
                      <a:fillRect/>
                    </a:stretch>
                  </pic:blipFill>
                  <pic:spPr bwMode="auto">
                    <a:xfrm>
                      <a:off x="0" y="0"/>
                      <a:ext cx="4178300" cy="2438725"/>
                    </a:xfrm>
                    <a:prstGeom prst="rect">
                      <a:avLst/>
                    </a:prstGeom>
                    <a:noFill/>
                    <a:ln w="9525">
                      <a:noFill/>
                      <a:headEnd/>
                      <a:tailEnd/>
                    </a:ln>
                  </pic:spPr>
                </pic:pic>
              </a:graphicData>
            </a:graphic>
          </wp:inline>
        </w:drawing>
      </w:r>
    </w:p>
    <w:p>
      <w:pPr>
        <w:pStyle w:val="ImageCaption"/>
      </w:pPr>
      <w:bookmarkStart w:id="79" w:name="fig:suppl-exclusions-dots"/>
      <w:bookmarkEnd w:id="79"/>
      <w:r>
        <w:rPr>
          <w:i/>
          <w:iCs/>
        </w:rPr>
        <w:t xml:space="preserve">Figure</w:t>
      </w:r>
      <w:r>
        <w:t xml:space="preserve"> </w:t>
      </w:r>
      <w:r>
        <w:t xml:space="preserve">6. Distribution of Exclusions across the age-range in all three studies. Dots represent individuals. Colors indicate why children where not submitted to analyses.</w:t>
      </w:r>
    </w:p>
    <w:p>
      <w:r>
        <w:br w:type="page"/>
      </w:r>
    </w:p>
    <w:bookmarkEnd w:id="80"/>
    <w:bookmarkStart w:id="101" w:name="appendix-b---stimuli"/>
    <w:p>
      <w:pPr>
        <w:pStyle w:val="berschrift1"/>
      </w:pPr>
      <w:r>
        <w:t xml:space="preserve">Appendix B - Stimuli</w:t>
      </w:r>
    </w:p>
    <w:p>
      <w:pPr>
        <w:pStyle w:val="CaptionedFigure"/>
      </w:pPr>
      <w:r>
        <w:drawing>
          <wp:inline>
            <wp:extent cx="4775200" cy="1749481"/>
            <wp:effectExtent b="0" l="0" r="0" t="0"/>
            <wp:docPr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title="" id="82" name="Picture"/>
            <a:graphic>
              <a:graphicData uri="http://schemas.openxmlformats.org/drawingml/2006/picture">
                <pic:pic>
                  <pic:nvPicPr>
                    <pic:cNvPr descr="../illustrations/setup%20fam%20test.png" id="83" name="Picture"/>
                    <pic:cNvPicPr>
                      <a:picLocks noChangeArrowheads="1" noChangeAspect="1"/>
                    </pic:cNvPicPr>
                  </pic:nvPicPr>
                  <pic:blipFill>
                    <a:blip r:embed="rId81"/>
                    <a:stretch>
                      <a:fillRect/>
                    </a:stretch>
                  </pic:blipFill>
                  <pic:spPr bwMode="auto">
                    <a:xfrm>
                      <a:off x="0" y="0"/>
                      <a:ext cx="4775200" cy="1749481"/>
                    </a:xfrm>
                    <a:prstGeom prst="rect">
                      <a:avLst/>
                    </a:prstGeom>
                    <a:noFill/>
                    <a:ln w="9525">
                      <a:noFill/>
                      <a:headEnd/>
                      <a:tailEnd/>
                    </a:ln>
                  </pic:spPr>
                </pic:pic>
              </a:graphicData>
            </a:graphic>
          </wp:inline>
        </w:drawing>
      </w:r>
    </w:p>
    <w:p>
      <w:pPr>
        <w:pStyle w:val="ImageCaption"/>
      </w:pPr>
      <w:bookmarkStart w:id="84" w:name="fig:suppl-plot-setupfamtest"/>
      <w:bookmarkEnd w:id="84"/>
      <w:r>
        <w:rPr>
          <w:i/>
          <w:iCs/>
        </w:rPr>
        <w:t xml:space="preserve">Figure</w:t>
      </w:r>
      <w:r>
        <w:t xml:space="preserve"> </w:t>
      </w:r>
      <w:r>
        <w:t xml:space="preserve">7.</w:t>
      </w:r>
      <w:r>
        <w:t xml:space="preserve"> </w:t>
      </w:r>
      <w:r>
        <w:rPr>
          <w:i/>
          <w:iCs/>
        </w:rPr>
        <w:t xml:space="preserve">Familiarization and Test Trials.</w:t>
      </w:r>
      <w:r>
        <w:t xml:space="preserve"> </w:t>
      </w:r>
      <w:r>
        <w:t xml:space="preserve">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pPr>
        <w:pStyle w:val="CaptionedFigure"/>
      </w:pPr>
      <w:r>
        <w:drawing>
          <wp:inline>
            <wp:extent cx="4775200" cy="1337184"/>
            <wp:effectExtent b="0" l="0" r="0" t="0"/>
            <wp:docPr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title="" id="86" name="Picture"/>
            <a:graphic>
              <a:graphicData uri="http://schemas.openxmlformats.org/drawingml/2006/picture">
                <pic:pic>
                  <pic:nvPicPr>
                    <pic:cNvPr descr="../illustrations/setup%20compose.png" id="87" name="Picture"/>
                    <pic:cNvPicPr>
                      <a:picLocks noChangeArrowheads="1" noChangeAspect="1"/>
                    </pic:cNvPicPr>
                  </pic:nvPicPr>
                  <pic:blipFill>
                    <a:blip r:embed="rId85"/>
                    <a:stretch>
                      <a:fillRect/>
                    </a:stretch>
                  </pic:blipFill>
                  <pic:spPr bwMode="auto">
                    <a:xfrm>
                      <a:off x="0" y="0"/>
                      <a:ext cx="4775200" cy="1337184"/>
                    </a:xfrm>
                    <a:prstGeom prst="rect">
                      <a:avLst/>
                    </a:prstGeom>
                    <a:noFill/>
                    <a:ln w="9525">
                      <a:noFill/>
                      <a:headEnd/>
                      <a:tailEnd/>
                    </a:ln>
                  </pic:spPr>
                </pic:pic>
              </a:graphicData>
            </a:graphic>
          </wp:inline>
        </w:drawing>
      </w:r>
    </w:p>
    <w:p>
      <w:pPr>
        <w:pStyle w:val="ImageCaption"/>
      </w:pPr>
      <w:bookmarkStart w:id="88" w:name="fig:suppl-plot-setup-compose"/>
      <w:bookmarkEnd w:id="88"/>
      <w:r>
        <w:rPr>
          <w:i/>
          <w:iCs/>
        </w:rPr>
        <w:t xml:space="preserve">Figure</w:t>
      </w:r>
      <w:r>
        <w:t xml:space="preserve"> </w:t>
      </w:r>
      <w:r>
        <w:t xml:space="preserve">8.</w:t>
      </w:r>
      <w:r>
        <w:t xml:space="preserve"> </w:t>
      </w:r>
      <w:r>
        <w:rPr>
          <w:i/>
          <w:iCs/>
        </w:rPr>
        <w:t xml:space="preserve">Trial Composition.</w:t>
      </w:r>
      <w:r>
        <w:t xml:space="preserve"> </w:t>
      </w:r>
      <w:r>
        <w:t xml:space="preserve">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pPr>
        <w:pStyle w:val="CaptionedFigure"/>
      </w:pPr>
      <w:r>
        <w:drawing>
          <wp:inline>
            <wp:extent cx="4954270" cy="1213604"/>
            <wp:effectExtent b="0" l="0" r="0" t="0"/>
            <wp:docPr descr="Figure 9: Stimuli for Study 1. Panels illustrate all items used in the conditions (A) Representation, (B) Pars Pro Toto, (C) Simple Form Analogy and (D) Complex Form Analogy." title="" id="90" name="Picture"/>
            <a:graphic>
              <a:graphicData uri="http://schemas.openxmlformats.org/drawingml/2006/picture">
                <pic:pic>
                  <pic:nvPicPr>
                    <pic:cNvPr descr="../illustrations/stimuli%20complete%20S1.png" id="91" name="Picture"/>
                    <pic:cNvPicPr>
                      <a:picLocks noChangeArrowheads="1" noChangeAspect="1"/>
                    </pic:cNvPicPr>
                  </pic:nvPicPr>
                  <pic:blipFill>
                    <a:blip r:embed="rId89"/>
                    <a:stretch>
                      <a:fillRect/>
                    </a:stretch>
                  </pic:blipFill>
                  <pic:spPr bwMode="auto">
                    <a:xfrm>
                      <a:off x="0" y="0"/>
                      <a:ext cx="4954270" cy="1213604"/>
                    </a:xfrm>
                    <a:prstGeom prst="rect">
                      <a:avLst/>
                    </a:prstGeom>
                    <a:noFill/>
                    <a:ln w="9525">
                      <a:noFill/>
                      <a:headEnd/>
                      <a:tailEnd/>
                    </a:ln>
                  </pic:spPr>
                </pic:pic>
              </a:graphicData>
            </a:graphic>
          </wp:inline>
        </w:drawing>
      </w:r>
    </w:p>
    <w:p>
      <w:pPr>
        <w:pStyle w:val="ImageCaption"/>
      </w:pPr>
      <w:bookmarkStart w:id="92" w:name="fig:suppl-plot-S1-stimuli"/>
      <w:bookmarkEnd w:id="92"/>
      <w:r>
        <w:rPr>
          <w:i/>
          <w:iCs/>
        </w:rPr>
        <w:t xml:space="preserve">Figure</w:t>
      </w:r>
      <w:r>
        <w:t xml:space="preserve"> </w:t>
      </w:r>
      <w:r>
        <w:t xml:space="preserve">9.</w:t>
      </w:r>
      <w:r>
        <w:t xml:space="preserve"> </w:t>
      </w:r>
      <w:r>
        <w:rPr>
          <w:i/>
          <w:iCs/>
        </w:rPr>
        <w:t xml:space="preserve">Stimuli for Study 1.</w:t>
      </w:r>
      <w:r>
        <w:t xml:space="preserve"> </w:t>
      </w:r>
      <w:r>
        <w:t xml:space="preserve">Panels illustrate all items used in the conditions (A) Representation, (B) Pars Pro Toto, (C) Simple Form Analogy and (D) Complex Form Analogy.</w:t>
      </w:r>
    </w:p>
    <w:p>
      <w:pPr>
        <w:pStyle w:val="CaptionedFigure"/>
      </w:pPr>
      <w:r>
        <w:drawing>
          <wp:inline>
            <wp:extent cx="4954270" cy="1245293"/>
            <wp:effectExtent b="0" l="0" r="0" t="0"/>
            <wp:docPr descr="Figure 10: Stimuli for Study 2. Panels illustrate all items used in the conditions (A) Absolute Position, (B) Relative Position, (C) Orientation of Object and (D) Orientation of Feature." title="" id="94" name="Picture"/>
            <a:graphic>
              <a:graphicData uri="http://schemas.openxmlformats.org/drawingml/2006/picture">
                <pic:pic>
                  <pic:nvPicPr>
                    <pic:cNvPr descr="../illustrations/stimuli%20complete%20S2.png" id="95" name="Picture"/>
                    <pic:cNvPicPr>
                      <a:picLocks noChangeArrowheads="1" noChangeAspect="1"/>
                    </pic:cNvPicPr>
                  </pic:nvPicPr>
                  <pic:blipFill>
                    <a:blip r:embed="rId93"/>
                    <a:stretch>
                      <a:fillRect/>
                    </a:stretch>
                  </pic:blipFill>
                  <pic:spPr bwMode="auto">
                    <a:xfrm>
                      <a:off x="0" y="0"/>
                      <a:ext cx="4954270" cy="1245293"/>
                    </a:xfrm>
                    <a:prstGeom prst="rect">
                      <a:avLst/>
                    </a:prstGeom>
                    <a:noFill/>
                    <a:ln w="9525">
                      <a:noFill/>
                      <a:headEnd/>
                      <a:tailEnd/>
                    </a:ln>
                  </pic:spPr>
                </pic:pic>
              </a:graphicData>
            </a:graphic>
          </wp:inline>
        </w:drawing>
      </w:r>
    </w:p>
    <w:p>
      <w:pPr>
        <w:pStyle w:val="ImageCaption"/>
      </w:pPr>
      <w:bookmarkStart w:id="96" w:name="fig:suppl-plot-S2-stimuli"/>
      <w:bookmarkEnd w:id="96"/>
      <w:r>
        <w:rPr>
          <w:i/>
          <w:iCs/>
        </w:rPr>
        <w:t xml:space="preserve">Figure</w:t>
      </w:r>
      <w:r>
        <w:t xml:space="preserve"> </w:t>
      </w:r>
      <w:r>
        <w:t xml:space="preserve">10.</w:t>
      </w:r>
      <w:r>
        <w:t xml:space="preserve"> </w:t>
      </w:r>
      <w:r>
        <w:rPr>
          <w:i/>
          <w:iCs/>
        </w:rPr>
        <w:t xml:space="preserve">Stimuli for Study 2.</w:t>
      </w:r>
      <w:r>
        <w:t xml:space="preserve"> </w:t>
      </w:r>
      <w:r>
        <w:t xml:space="preserve">Panels illustrate all items used in the conditions (A) Absolute Position, (B) Relative Position, (C) Orientation of Object and (D) Orientation of Feature.</w:t>
      </w:r>
    </w:p>
    <w:p>
      <w:pPr>
        <w:pStyle w:val="CaptionedFigure"/>
      </w:pPr>
      <w:r>
        <w:drawing>
          <wp:inline>
            <wp:extent cx="4954270" cy="1235689"/>
            <wp:effectExtent b="0" l="0" r="0" t="0"/>
            <wp:docPr descr="Figure 11: Stimuli for Study 3. Panels illustrate all items used in the conditions (A) Size of Object, (B) Size of Feature, (C) Number of Object and (D) Number of Feature." title="" id="98" name="Picture"/>
            <a:graphic>
              <a:graphicData uri="http://schemas.openxmlformats.org/drawingml/2006/picture">
                <pic:pic>
                  <pic:nvPicPr>
                    <pic:cNvPr descr="../illustrations/stimuli%20complete%20S3.png" id="99" name="Picture"/>
                    <pic:cNvPicPr>
                      <a:picLocks noChangeArrowheads="1" noChangeAspect="1"/>
                    </pic:cNvPicPr>
                  </pic:nvPicPr>
                  <pic:blipFill>
                    <a:blip r:embed="rId97"/>
                    <a:stretch>
                      <a:fillRect/>
                    </a:stretch>
                  </pic:blipFill>
                  <pic:spPr bwMode="auto">
                    <a:xfrm>
                      <a:off x="0" y="0"/>
                      <a:ext cx="4954270" cy="1235689"/>
                    </a:xfrm>
                    <a:prstGeom prst="rect">
                      <a:avLst/>
                    </a:prstGeom>
                    <a:noFill/>
                    <a:ln w="9525">
                      <a:noFill/>
                      <a:headEnd/>
                      <a:tailEnd/>
                    </a:ln>
                  </pic:spPr>
                </pic:pic>
              </a:graphicData>
            </a:graphic>
          </wp:inline>
        </w:drawing>
      </w:r>
    </w:p>
    <w:p>
      <w:pPr>
        <w:pStyle w:val="ImageCaption"/>
      </w:pPr>
      <w:bookmarkStart w:id="100" w:name="fig:suppl-plot-S3-stimuli"/>
      <w:bookmarkEnd w:id="100"/>
      <w:r>
        <w:rPr>
          <w:i/>
          <w:iCs/>
        </w:rPr>
        <w:t xml:space="preserve">Figure</w:t>
      </w:r>
      <w:r>
        <w:t xml:space="preserve"> </w:t>
      </w:r>
      <w:r>
        <w:t xml:space="preserve">11.</w:t>
      </w:r>
      <w:r>
        <w:t xml:space="preserve"> </w:t>
      </w:r>
      <w:r>
        <w:rPr>
          <w:i/>
          <w:iCs/>
        </w:rPr>
        <w:t xml:space="preserve">Stimuli for Study 3.</w:t>
      </w:r>
      <w:r>
        <w:t xml:space="preserve"> </w:t>
      </w:r>
      <w:r>
        <w:t xml:space="preserve">Panels illustrate all items used in the conditions (A) Size of Object, (B) Size of Feature, (C) Number of Object and (D) Number of Feature.</w:t>
      </w:r>
    </w:p>
    <w:p>
      <w:r>
        <w:br w:type="page"/>
      </w:r>
    </w:p>
    <w:bookmarkEnd w:id="101"/>
    <w:bookmarkStart w:id="108" w:name="appendix-c---results"/>
    <w:p>
      <w:pPr>
        <w:pStyle w:val="berschrift1"/>
      </w:pPr>
      <w:r>
        <w:t xml:space="preserve">Appendix C - Results</w:t>
      </w:r>
    </w:p>
    <w:p>
      <w:pPr>
        <w:pStyle w:val="TableCaption"/>
      </w:pPr>
      <w:bookmarkStart w:id="102" w:name="tab:suppl-S1-coef-table"/>
      <w:bookmarkEnd w:id="102"/>
      <w:r>
        <w:t xml:space="preserve">Table 1:</w:t>
      </w:r>
      <w:r>
        <w:t xml:space="preserve"> </w:t>
      </w:r>
      <w:r>
        <w:t xml:space="preserve">Study 1 -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 2.44]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5,635</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7,679</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7,148</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6,164</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6,217</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7,377</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[-0.52,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6,755</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 0.24]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6,711</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03" w:name="tab:suppl-descriptives-S1"/>
      <w:bookmarkEnd w:id="103"/>
      <w:r>
        <w:t xml:space="preserve">Table 2:</w:t>
      </w:r>
      <w:r>
        <w:t xml:space="preserve"> </w:t>
      </w:r>
      <w:r>
        <w:t xml:space="preserve">Study 1 -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 w:right="2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104" w:name="tab:suppl-S2-coef-table"/>
      <w:bookmarkEnd w:id="104"/>
      <w:r>
        <w:t xml:space="preserve">Table 3:</w:t>
      </w:r>
      <w:r>
        <w:t xml:space="preserve"> </w:t>
      </w:r>
      <w:r>
        <w:t xml:space="preserve">Study 2 -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[0.69, 1.47]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6,307</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8,170</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7,492</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7,672</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5,576</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7,114</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6,858</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05" w:name="tab:suppl-descriptives-S2"/>
      <w:bookmarkEnd w:id="105"/>
      <w:r>
        <w:t xml:space="preserve">Table 4:</w:t>
      </w:r>
      <w:r>
        <w:t xml:space="preserve"> </w:t>
      </w:r>
      <w:r>
        <w:t xml:space="preserve">Study 2 -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106" w:name="tab:suppl-S3-coef-table"/>
      <w:bookmarkEnd w:id="106"/>
      <w:r>
        <w:t xml:space="preserve">Table 5:</w:t>
      </w:r>
      <w:r>
        <w:t xml:space="preserve"> </w:t>
      </w:r>
      <w:r>
        <w:t xml:space="preserve">Study 3 -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1.39]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5,262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6,963</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8,161</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7,931</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7,790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5,699</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7,473</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7,369</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7,330</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[-0.61, 0.02]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6,519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7,167</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07" w:name="tab:suppl-descriptives-S3"/>
      <w:bookmarkEnd w:id="107"/>
      <w:r>
        <w:t xml:space="preserve">Table 6:</w:t>
      </w:r>
      <w:r>
        <w:t xml:space="preserve"> </w:t>
      </w:r>
      <w:r>
        <w:t xml:space="preserve">Study 3 -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5"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bookmarkEnd w:id="108"/>
    <w:bookmarkStart w:id="112"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109" w:name="study-1-1"/>
    <w:p>
      <w:pPr>
        <w:pStyle w:val="berschrift2"/>
      </w:pPr>
      <w:r>
        <w:t xml:space="preserve">Study 1</w:t>
      </w:r>
    </w:p>
    <w:p>
      <w:pPr>
        <w:pStyle w:val="FirstParagraph"/>
      </w:pPr>
      <w:r>
        <w:t xml:space="preserve">Model diagnostics were drawn for the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109"/>
    <w:bookmarkStart w:id="110" w:name="study-2-1"/>
    <w:p>
      <w:pPr>
        <w:pStyle w:val="berschrift2"/>
      </w:pPr>
      <w:r>
        <w:t xml:space="preserve">Study 2</w:t>
      </w:r>
    </w:p>
    <w:p>
      <w:pPr>
        <w:pStyle w:val="FirstParagraph"/>
      </w:pPr>
      <w:r>
        <w:t xml:space="preserve">Model diagnostics were drawn for the full and null model in study 2. Rhat values in both models were equal to one, indicating convergence across all chains. Effective sample sizes for all fixed effects in the full model (Bulk ESS, mean = 6423, range 3842 - 8388) and the null model (Bulk ESS, mean = 6501, range 4502 - 8732) were &gt; 1000, indicating reliable posterior estimations.</w:t>
      </w:r>
    </w:p>
    <w:bookmarkEnd w:id="110"/>
    <w:bookmarkStart w:id="111" w:name="study-3-1"/>
    <w:p>
      <w:pPr>
        <w:pStyle w:val="berschrift2"/>
      </w:pPr>
      <w:r>
        <w:t xml:space="preserve">Study 3</w:t>
      </w:r>
    </w:p>
    <w:p>
      <w:pPr>
        <w:pStyle w:val="FirstParagraph"/>
      </w:pPr>
      <w:r>
        <w:t xml:space="preserve">Model diagnostics were drawn for the full and null model in study 3. Rhat values in both models were equal to one, indicating convergence across all chains. Effective sample sizes for all fixed effects in the full model (Bulk ESS, mean = 6669, range 4655 - 8714) and the null model (Bulk ESS, mean = 7344, range 5803 - 9047) were &gt; 1000, indicating reliable posterior estimations.</w:t>
      </w:r>
    </w:p>
    <w:p>
      <w:r>
        <w:br w:type="page"/>
      </w:r>
    </w:p>
    <w:bookmarkEnd w:id="111"/>
    <w:bookmarkEnd w:id="112"/>
    <w:bookmarkStart w:id="116"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13"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13"/>
    <w:bookmarkStart w:id="114"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14"/>
    <w:bookmarkStart w:id="115"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15"/>
    <w:bookmarkEnd w:id="116"/>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CHILDREN'S COMPREHENSION OF SYMBOL-REFERENT 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CHILDREN'S COMPREHENSION OF SYMBOL-REFERENT 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5" Target="media/rId85.png" /><Relationship Type="http://schemas.openxmlformats.org/officeDocument/2006/relationships/image" Id="rId81" Target="media/rId81.png" /><Relationship Type="http://schemas.openxmlformats.org/officeDocument/2006/relationships/image" Id="rId25" Target="media/rId2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31" Target="http://mc-stan.org/" TargetMode="External"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s>
</file>

<file path=word/_rels/footnotes.xml.rels><?xml version="1.0" encoding="UTF-8"?><Relationships xmlns="http://schemas.openxmlformats.org/package/2006/relationships"><Relationship Type="http://schemas.openxmlformats.org/officeDocument/2006/relationships/hyperlink" Id="rId31" Target="http://mc-stan.org/" TargetMode="External"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Various Symbol-Referent Relationships in the Graphic Domain</dc:title>
  <dc:creator/>
  <cp:keywords/>
  <dcterms:created xsi:type="dcterms:W3CDTF">2025-05-15T12:29:12Z</dcterms:created>
  <dcterms:modified xsi:type="dcterms:W3CDTF">2025-05-15T12:29:12Z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Children’s Comprehension of Symbol-Referent 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