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1.png" ContentType="image/png"/>
  <Override PartName="/word/media/rId34.png" ContentType="image/png"/>
  <Override PartName="/word/media/rId42.png" ContentType="image/png"/>
  <Override PartName="/word/media/rId50.png" ContentType="image/png"/>
  <Override PartName="/word/media/rId64.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symbol-object-relationships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symbol-object-relationships in the graphic domain</w:t>
      </w:r>
    </w:p>
    <w:bookmarkStart w:id="20"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0"/>
    <w:bookmarkStart w:id="30" w:name="general-methods"/>
    <w:p>
      <w:pPr>
        <w:pStyle w:val="berschrift1"/>
      </w:pPr>
      <w:r>
        <w:t xml:space="preserve">General Methods</w:t>
      </w:r>
    </w:p>
    <w:p>
      <w:pPr>
        <w:pStyle w:val="FirstParagraph"/>
      </w:pPr>
      <w:r>
        <w:t xml:space="preserve">All three studies presented here share the same methods and analyses. For convenience, common aspects of the procedure, participant recruiting and stimulus design are reported first before discussing the individual studies respectively.</w:t>
      </w:r>
    </w:p>
    <w:bookmarkStart w:id="25" w:name="setup-and-data-collection"/>
    <w:p>
      <w:pPr>
        <w:pStyle w:val="berschrift2"/>
      </w:pPr>
      <w:r>
        <w:t xml:space="preserve">Setup and Data Collection</w:t>
      </w:r>
    </w:p>
    <w:p>
      <w:pPr>
        <w:pStyle w:val="FirstParagraph"/>
      </w:pPr>
      <w:r>
        <w:t xml:space="preserve">In order to trace the development of children’s symbolic competence continuously across the preschool years, data collection aimed at testing two children per month of age between the third and the seventh birthday for a total 96 participants while euqally balancing male and female participants. As children participated on the basis of availability and data collection was done by several experimenter teams visiting different institutions in parallel, the resulting final samples slightly exceed this preregistered minimum sample size. The final sample approximate an equal distribution of male and female participants and</w:t>
      </w:r>
      <w:r>
        <w:t xml:space="preserve"> </w:t>
      </w:r>
      <w:r>
        <w:t xml:space="preserve">while aligning with conventions in the field, by providing at least 24 participants per condition and year of age.</w:t>
      </w:r>
    </w:p>
    <w:p>
      <w:pPr>
        <w:pStyle w:val="Textkrper"/>
      </w:pPr>
      <w:r>
        <w:t xml:space="preserve">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p>
      <w:pPr>
        <w:pStyle w:val="Textkrper"/>
      </w:pPr>
      <w:r>
        <w:t xml:space="preserve">During test sessions, one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5969000" cy="4465920"/>
            <wp:effectExtent b="0" l="0" r="0" t="0"/>
            <wp:docPr descr="Figure 1: Illustration of setup. Experimenters were sitting behind the children in order to not distract them from the task and supervised data collection." title="" id="22" name="Picture"/>
            <a:graphic>
              <a:graphicData uri="http://schemas.openxmlformats.org/drawingml/2006/picture">
                <pic:pic>
                  <pic:nvPicPr>
                    <pic:cNvPr descr="../illustrations/Symlit_Rep_Setup_fromarrows.png" id="23"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24" w:name="fig:figure-setup"/>
      <w:bookmarkEnd w:id="24"/>
      <w:r>
        <w:rPr>
          <w:i/>
          <w:iCs/>
        </w:rPr>
        <w:t xml:space="preserve">Figure</w:t>
      </w:r>
      <w:r>
        <w:t xml:space="preserve"> </w:t>
      </w:r>
      <w:r>
        <w:t xml:space="preserve">1. Illustration of setup. Experimenters were sitting behind the children in order to not distract them from the task and supervised data collection.</w:t>
      </w:r>
    </w:p>
    <w:bookmarkEnd w:id="25"/>
    <w:bookmarkStart w:id="26" w:name="procedure"/>
    <w:p>
      <w:pPr>
        <w:pStyle w:val="berschrift2"/>
      </w:pPr>
      <w:r>
        <w:t xml:space="preserve">Procedure</w:t>
      </w:r>
    </w:p>
    <w:p>
      <w:pPr>
        <w:pStyle w:val="FirstParagraph"/>
      </w:pPr>
      <w:r>
        <w:rPr>
          <w:i/>
          <w:iCs/>
        </w:rPr>
        <w:t xml:space="preserve">Familiarization</w:t>
      </w:r>
      <w:r>
        <w:t xml:space="preserve">. Experimenters invited children to join a hiding game and to follow the narration of the story. First, the presentation introduced a cartoon monkey. This character then placed two barriers on the bottom left and right side of the screen. After holding up a banana, one of the barriers was lifted, the banana was placed there and the barrier was lowered to conceal the banana. Children were now prompted to touch the hiding place and in doing so the barrier of their choice was lifted to reveal the banana if they chose correctly. Hence to succeed here, children solely had to remember where the item went and touch this part of the screen after a few seconds. The experimental script provided immediate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rPr>
          <w:i/>
          <w:iCs/>
        </w:rPr>
        <w:t xml:space="preserve">Test phase</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partner in a cooperative coordination game. The hiding sequence was identical to the familiarization phase, however the placement of the banana was concealed by a barrier over the lower half of the screen and the two hiding places displayed different graphical shapes in the same colour. The monkey then held up piece of paper and a pencil. Pencil movement and a short scribble sound indicated that the monkey was drawing something.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now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Crucially, however, children received only neutral feedback upon making a choice (</w:t>
      </w:r>
      <w:r>
        <w:t xml:space="preserve">“</w:t>
      </w:r>
      <w:r>
        <w:t xml:space="preserve">Ah, thank you</w:t>
      </w:r>
      <w:r>
        <w:t xml:space="preserve">”</w:t>
      </w:r>
      <w:r>
        <w:t xml:space="preserve">) and there was no reveal animation. The game simply continued with the next round in which two new hiding places with different shapes were displayed, and hiding sequence was repeated as before.</w:t>
      </w:r>
    </w:p>
    <w:p>
      <w:pPr>
        <w:pStyle w:val="Textkrper"/>
      </w:pPr>
      <w:r>
        <w:t xml:space="preserve">Except for the geometric shapes displayed on the hiding places and the respective drawing, the experimental representation was identical for all test trials. A single trial lasted roughly 30 to 60 seconds, depending on how swiftly children chose. Each study presented four different experimental conditions with four trials each in a blocked order for a maximum of 16 test trials. Children occasionally wished to stop before completing all trials, resulting in minor deviations of the total number of trials per condition that are submitted to analyses. Children that did not complete a minimum of eight test trials were not submitted to analysis and are reported below. The entire test session lasted about 12 minutes.</w:t>
      </w:r>
    </w:p>
    <w:bookmarkEnd w:id="26"/>
    <w:bookmarkStart w:id="27" w:name="stimuli-and-experimental-manipulations"/>
    <w:p>
      <w:pPr>
        <w:pStyle w:val="berschrift2"/>
      </w:pPr>
      <w:r>
        <w:t xml:space="preserve">Stimuli and Experimental Manipulations</w:t>
      </w:r>
    </w:p>
    <w:p>
      <w:pPr>
        <w:pStyle w:val="FirstParagraph"/>
      </w:pPr>
      <w:r>
        <w:t xml:space="preserve">Description of cues and targets and maybe how they were created.</w:t>
      </w:r>
    </w:p>
    <w:p>
      <w:pPr>
        <w:pStyle w:val="Textkrper"/>
      </w:pPr>
      <w:r>
        <w:t xml:space="preserve">For an illustration of the stimuli and example presentations, please see supplementary materials sections XX and XX.</w:t>
      </w:r>
    </w:p>
    <w:bookmarkEnd w:id="27"/>
    <w:bookmarkStart w:id="29" w:name="data-handling-and-analyses"/>
    <w:p>
      <w:pPr>
        <w:pStyle w:val="berschrift2"/>
      </w:pPr>
      <w:r>
        <w:t xml:space="preserve">Data Handling and Analyses</w:t>
      </w:r>
    </w:p>
    <w:p>
      <w:pPr>
        <w:pStyle w:val="FirstParagraph"/>
      </w:pPr>
      <w:r>
        <w:t xml:space="preserve">Participant choices were recorded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the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task by using WAIC scores and weights (McElreath, 2016). Furthermore, model estimates were inspected for the different predictors (including their 95% Credible Interval (CrI)). In each study, the most simple condition was set as the reference level within conditions. All Bayesian models used default priors and were run in Stan (</w:t>
      </w:r>
      <w:hyperlink r:id="rId28">
        <w:r>
          <w:rPr>
            <w:rStyle w:val="Hyperlink"/>
          </w:rPr>
          <w:t xml:space="preserve">http://mc-stan.org/</w:t>
        </w:r>
      </w:hyperlink>
      <w:r>
        <w:t xml:space="preserve">) via the function brm of the package brms (Bürkner, 2017).</w:t>
      </w:r>
    </w:p>
    <w:p>
      <w:pPr>
        <w:pStyle w:val="Textkrper"/>
      </w:pPr>
      <w:r>
        <w:t xml:space="preserve">To answer the main research question of when children performed above chance in any of the study’s conditions, we use the models to predict the developmental trajectory (with 95% CrI) for each condition (expected values of the posterior predicted dist via fct fitted). The criterion for settling when children passed criterion as a group was the point at which the 95% CrI for a particular trajectory did no longer overlap with a midline demarcating the 50% chance level.</w:t>
      </w:r>
    </w:p>
    <w:p>
      <w:pPr>
        <w:pStyle w:val="Textkrper"/>
      </w:pPr>
      <w:r>
        <w:t xml:space="preserve">To further explore the data, participants were binned according to their age in years. To test whether group-level performance was above chance in all experimental groups, we used two-tailed one-sample t-tests with the chance level set to .5. We provide Cohen’s d as a standardized effect size for significance testing (computed via the function</w:t>
      </w:r>
      <w:r>
        <w:t xml:space="preserve"> </w:t>
      </w:r>
      <w:r>
        <w:rPr>
          <w:rStyle w:val="VerbatimChar"/>
        </w:rPr>
        <w:t xml:space="preserve">cohensD</w:t>
      </w:r>
      <w:r>
        <w:t xml:space="preserve">).</w:t>
      </w:r>
    </w:p>
    <w:p>
      <w:pPr>
        <w:pStyle w:val="Compact"/>
        <w:numPr>
          <w:ilvl w:val="0"/>
          <w:numId w:val="1001"/>
        </w:numPr>
      </w:pPr>
      <w:r>
        <w:t xml:space="preserve">deviation from preregistration</w:t>
      </w:r>
    </w:p>
    <w:p>
      <w:pPr>
        <w:pStyle w:val="Compact"/>
        <w:numPr>
          <w:ilvl w:val="0"/>
          <w:numId w:val="1001"/>
        </w:numPr>
      </w:pPr>
      <w:r>
        <w:t xml:space="preserve">elpd_diff ist neu und zusätzlich</w:t>
      </w:r>
    </w:p>
    <w:p>
      <w:pPr>
        <w:pStyle w:val="Compact"/>
        <w:numPr>
          <w:ilvl w:val="0"/>
          <w:numId w:val="1001"/>
        </w:numPr>
      </w:pPr>
      <w:r>
        <w:t xml:space="preserve">most simple condition als reference …warum</w:t>
      </w:r>
    </w:p>
    <w:p>
      <w:pPr>
        <w:pStyle w:val="Compact"/>
        <w:numPr>
          <w:ilvl w:val="0"/>
          <w:numId w:val="1001"/>
        </w:numPr>
      </w:pPr>
      <w:r>
        <w:t xml:space="preserve">bezeichnung output fitted function –&gt; wie macht brms die confidence intervalle um die mittelwerte –&gt;</w:t>
      </w:r>
    </w:p>
    <w:p>
      <w:pPr>
        <w:pStyle w:val="Compact"/>
        <w:numPr>
          <w:ilvl w:val="0"/>
          <w:numId w:val="1001"/>
        </w:numPr>
      </w:pPr>
      <w:r>
        <w:t xml:space="preserve">“</w:t>
      </w:r>
      <w:r>
        <w:t xml:space="preserve">expected value of the posterior predicted distribution</w:t>
      </w:r>
      <w:r>
        <w:t xml:space="preserve">”</w:t>
      </w:r>
    </w:p>
    <w:bookmarkEnd w:id="29"/>
    <w:bookmarkEnd w:id="30"/>
    <w:bookmarkStart w:id="38" w:name="study-1"/>
    <w:p>
      <w:pPr>
        <w:pStyle w:val="berschrift1"/>
      </w:pPr>
      <w:r>
        <w:t xml:space="preserve">Study 1</w:t>
      </w:r>
    </w:p>
    <w:bookmarkStart w:id="31"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children were not fluent enough in German to participate as their families had only recently migrated. Finally, 2 children had to be excluded due to technical issues. For a graphical and tabular overview of participants and exclusions across all three studies presented here, please see Appendix A.</w:t>
      </w:r>
    </w:p>
    <w:bookmarkEnd w:id="31"/>
    <w:bookmarkStart w:id="32" w:name="stimuli"/>
    <w:p>
      <w:pPr>
        <w:pStyle w:val="berschrift2"/>
      </w:pPr>
      <w:r>
        <w:t xml:space="preserve">Stimuli</w:t>
      </w:r>
    </w:p>
    <w:bookmarkEnd w:id="32"/>
    <w:bookmarkStart w:id="33" w:name="analyses"/>
    <w:p>
      <w:pPr>
        <w:pStyle w:val="berschrift2"/>
      </w:pPr>
      <w:r>
        <w:t xml:space="preserve">Analyses</w:t>
      </w:r>
    </w:p>
    <w:p>
      <w:pPr>
        <w:pStyle w:val="FirstParagraph"/>
      </w:pPr>
      <w:r>
        <w:t xml:space="preserve">A total of 1688 trials (mean per condition = 422, range: 420 - 424) from 106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33"/>
    <w:bookmarkStart w:id="37" w:name="results"/>
    <w:p>
      <w:pPr>
        <w:pStyle w:val="berschrift2"/>
      </w:pPr>
      <w:r>
        <w:t xml:space="preserve">Results</w:t>
      </w:r>
    </w:p>
    <w:p>
      <w:pPr>
        <w:pStyle w:val="FirstParagraph"/>
      </w:pPr>
      <w:r>
        <w:t xml:space="preserve">Posterior predictive checks for both full and null model indicated excellent fit of observed data and model predictions (see supplements for more information). Comparing the models using weights based on the Widely Applicable Information Criterion (WAIC) yielded 76.06% of the model weight for the full model, and 23.94% for the null model. Hence, the full model generally has a higher probability of making accurate predictions. Directly comparing the models’ WAIC via expected log predictive density (ELPD) corroborates this (ELPD WAIC; full model = -901.65; null model = -904.26). The standard error of the difference in predictive accuracy (3.15), however is lower than the difference itself (-2.61).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below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CI [-1.69, -1.10) and</w:t>
      </w:r>
      <w:r>
        <w:t xml:space="preserve"> </w:t>
      </w:r>
      <w:r>
        <w:rPr>
          <w:i/>
          <w:iCs/>
        </w:rPr>
        <w:t xml:space="preserve">Complex Form Analogy</w:t>
      </w:r>
      <w:r>
        <w:t xml:space="preserve"> </w:t>
      </w:r>
      <w:r>
        <w:t xml:space="preserve">(beta = -1.36, 95% CI [-1.67, -1.07) have a considerably lower probability of correct responses. The</w:t>
      </w:r>
      <w:r>
        <w:t xml:space="preserve"> </w:t>
      </w:r>
      <w:r>
        <w:rPr>
          <w:i/>
          <w:iCs/>
        </w:rPr>
        <w:t xml:space="preserve">Pars Pro Toto</w:t>
      </w:r>
      <w:r>
        <w:t xml:space="preserve"> </w:t>
      </w:r>
      <w:r>
        <w:t xml:space="preserve">condition has no clear difference from the reference condition (beta= -0.14, 95% CI [-0.48, 0.19). Interaction terms between age and condition were not reliably different from zero. The developmental curves for each condition have essentially similar trajectories.</w:t>
      </w:r>
    </w:p>
    <w:p>
      <w:pPr>
        <w:pStyle w:val="Textkrper"/>
      </w:pPr>
      <w:r>
        <w:t xml:space="preserve">Finally, by tracing when the lower bound of the 95% CrI exceeds the chance level of 50%, it is possible to report when children’s group level performance exceeds chance level and becomes robustly systematic in favor of the correct choice option. In study 1, children perform above chance in the</w:t>
      </w:r>
      <w:r>
        <w:t xml:space="preserve"> </w:t>
      </w:r>
      <w:r>
        <w:rPr>
          <w:i/>
          <w:iCs/>
        </w:rPr>
        <w:t xml:space="preserve">Representation</w:t>
      </w:r>
      <w:r>
        <w:t xml:space="preserve"> </w:t>
      </w:r>
      <w:r>
        <w:t xml:space="preserve">condition as early as 36 months. Quickly after at XX months, children succed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 Complex Form Analogy, preschoolers meet criterion at 48 and 50 months respectively.</w:t>
      </w:r>
    </w:p>
    <w:p>
      <w:pPr>
        <w:pStyle w:val="Textkrper"/>
      </w:pPr>
      <w:r>
        <w:t xml:space="preserve">For a conventional analysis binning participants according to their age in years, please see table</w:t>
      </w:r>
      <w:r>
        <w:t xml:space="preserve"> </w:t>
      </w:r>
      <w:r>
        <w:t xml:space="preserve">1</w:t>
      </w:r>
      <w:r>
        <w:t xml:space="preserve"> </w:t>
      </w:r>
      <w:r>
        <w:t xml:space="preserve">in appendix C.</w:t>
      </w:r>
    </w:p>
    <w:p>
      <w:pPr>
        <w:pStyle w:val="Textkrper"/>
      </w:pPr>
      <w:r>
        <w:drawing>
          <wp:inline>
            <wp:extent cx="4587290" cy="3669832"/>
            <wp:effectExtent b="0" l="0" r="0" t="0"/>
            <wp:docPr descr="" title="" id="35" name="Picture"/>
            <a:graphic>
              <a:graphicData uri="http://schemas.openxmlformats.org/drawingml/2006/picture">
                <pic:pic>
                  <pic:nvPicPr>
                    <pic:cNvPr descr="symlit_rep_manuscript_files/figure-docx/S1_bayes_plot_no_facets-1.png" id="36"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bookmarkEnd w:id="37"/>
    <w:bookmarkEnd w:id="38"/>
    <w:bookmarkStart w:id="46" w:name="study-2"/>
    <w:p>
      <w:pPr>
        <w:pStyle w:val="berschrift1"/>
      </w:pPr>
      <w:r>
        <w:t xml:space="preserve">Study 2</w:t>
      </w:r>
    </w:p>
    <w:bookmarkStart w:id="39"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13 children (6 female) were tested but excluded from analysis for failing familiarization (N = 9), being fussy (N = 1), not being fluent in German (N = 1) or due to technical issues (N = 2).</w:t>
      </w:r>
    </w:p>
    <w:bookmarkEnd w:id="39"/>
    <w:bookmarkStart w:id="40" w:name="materials"/>
    <w:p>
      <w:pPr>
        <w:pStyle w:val="berschrift2"/>
      </w:pPr>
      <w:r>
        <w:t xml:space="preserve">Materials</w:t>
      </w:r>
    </w:p>
    <w:bookmarkEnd w:id="40"/>
    <w:bookmarkStart w:id="41" w:name="data-analysis"/>
    <w:p>
      <w:pPr>
        <w:pStyle w:val="berschrift2"/>
      </w:pPr>
      <w:r>
        <w:t xml:space="preserve">Data analysis</w:t>
      </w:r>
    </w:p>
    <w:p>
      <w:pPr>
        <w:pStyle w:val="FirstParagraph"/>
      </w:pPr>
      <w:r>
        <w:t xml:space="preserve">A total of 1561 trials (mean per condition = 390.25, range: 388 - 393) from 99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41"/>
    <w:bookmarkStart w:id="45" w:name="results-1"/>
    <w:p>
      <w:pPr>
        <w:pStyle w:val="berschrift2"/>
      </w:pPr>
      <w:r>
        <w:t xml:space="preserve">Results</w:t>
      </w:r>
    </w:p>
    <w:p>
      <w:pPr>
        <w:pStyle w:val="FirstParagraph"/>
      </w:pPr>
      <w:r>
        <w:drawing>
          <wp:inline>
            <wp:extent cx="4587290" cy="3669832"/>
            <wp:effectExtent b="0" l="0" r="0" t="0"/>
            <wp:docPr descr="" title="" id="43" name="Picture"/>
            <a:graphic>
              <a:graphicData uri="http://schemas.openxmlformats.org/drawingml/2006/picture">
                <pic:pic>
                  <pic:nvPicPr>
                    <pic:cNvPr descr="symlit_rep_manuscript_files/figure-docx/S2_bayes_plot-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bookmarkEnd w:id="45"/>
    <w:bookmarkEnd w:id="46"/>
    <w:bookmarkStart w:id="54" w:name="study-3"/>
    <w:p>
      <w:pPr>
        <w:pStyle w:val="berschrift1"/>
      </w:pPr>
      <w:r>
        <w:t xml:space="preserve">Study 3</w:t>
      </w:r>
    </w:p>
    <w:p>
      <w:pPr>
        <w:pStyle w:val="FirstParagraph"/>
      </w:pPr>
      <w:r>
        <w:t xml:space="preserve">General note on the aim of the investigation</w:t>
      </w:r>
    </w:p>
    <w:bookmarkStart w:id="47"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Another 4children were excluded due to language problems or technical issues (N = 3).</w:t>
      </w:r>
    </w:p>
    <w:bookmarkEnd w:id="47"/>
    <w:bookmarkStart w:id="48" w:name="materials-1"/>
    <w:p>
      <w:pPr>
        <w:pStyle w:val="berschrift2"/>
      </w:pPr>
      <w:r>
        <w:t xml:space="preserve">Materials</w:t>
      </w:r>
    </w:p>
    <w:bookmarkEnd w:id="48"/>
    <w:bookmarkStart w:id="49" w:name="analysis"/>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and a null model lacking the interaction of condition and age.</w:t>
      </w:r>
    </w:p>
    <w:bookmarkEnd w:id="49"/>
    <w:bookmarkStart w:id="53" w:name="results-2"/>
    <w:p>
      <w:pPr>
        <w:pStyle w:val="berschrift2"/>
      </w:pPr>
      <w:r>
        <w:t xml:space="preserve">Results</w:t>
      </w:r>
    </w:p>
    <w:p>
      <w:pPr>
        <w:pStyle w:val="FirstParagraph"/>
      </w:pPr>
      <w:r>
        <w:drawing>
          <wp:inline>
            <wp:extent cx="4587290" cy="3669832"/>
            <wp:effectExtent b="0" l="0" r="0" t="0"/>
            <wp:docPr descr="" title="" id="51" name="Picture"/>
            <a:graphic>
              <a:graphicData uri="http://schemas.openxmlformats.org/drawingml/2006/picture">
                <pic:pic>
                  <pic:nvPicPr>
                    <pic:cNvPr descr="symlit_rep_manuscript_files/figure-docx/S3_bayes_plot-1.png" id="52"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bookmarkEnd w:id="53"/>
    <w:bookmarkEnd w:id="54"/>
    <w:bookmarkStart w:id="55" w:name="additional-analyses"/>
    <w:p>
      <w:pPr>
        <w:pStyle w:val="berschrift1"/>
      </w:pPr>
      <w:r>
        <w:t xml:space="preserve">Additional Analyses</w:t>
      </w:r>
    </w:p>
    <w:p>
      <w:pPr>
        <w:pStyle w:val="FirstParagraph"/>
      </w:pPr>
      <w:r>
        <w:t xml:space="preserve">possible add-ons</w:t>
      </w:r>
      <w:r>
        <w:t xml:space="preserve"> </w:t>
      </w:r>
      <w:r>
        <w:t xml:space="preserve">a model including all conditions</w:t>
      </w:r>
      <w:r>
        <w:t xml:space="preserve"> </w:t>
      </w:r>
      <w:r>
        <w:t xml:space="preserve">comparing difficulty across items and tasks</w:t>
      </w:r>
      <w:r>
        <w:t xml:space="preserve"> </w:t>
      </w:r>
      <w:r>
        <w:t xml:space="preserve">evaluating manipulations such as complex/simple;</w:t>
      </w:r>
      <w:r>
        <w:t xml:space="preserve"> </w:t>
      </w:r>
      <w:r>
        <w:t xml:space="preserve">reaction time analyses</w:t>
      </w:r>
    </w:p>
    <w:p>
      <w:pPr>
        <w:pStyle w:val="Textkrper"/>
      </w:pPr>
      <w:r>
        <w:t xml:space="preserve">Additional Analyses:</w:t>
      </w:r>
    </w:p>
    <w:p>
      <w:pPr>
        <w:pStyle w:val="Textkrper"/>
      </w:pPr>
      <w:r>
        <w:t xml:space="preserve">object vs feature</w:t>
      </w:r>
      <w:r>
        <w:t xml:space="preserve"> </w:t>
      </w:r>
      <w:r>
        <w:t xml:space="preserve">- orfe vs orob</w:t>
      </w:r>
      <w:r>
        <w:t xml:space="preserve"> </w:t>
      </w:r>
      <w:r>
        <w:t xml:space="preserve">- sife vs siob</w:t>
      </w:r>
      <w:r>
        <w:t xml:space="preserve"> </w:t>
      </w:r>
      <w:r>
        <w:t xml:space="preserve">- nufe vs nuob</w:t>
      </w:r>
    </w:p>
    <w:p>
      <w:pPr>
        <w:pStyle w:val="Textkrper"/>
      </w:pPr>
      <w:r>
        <w:t xml:space="preserve">round vs angular</w:t>
      </w:r>
      <w:r>
        <w:t xml:space="preserve"> </w:t>
      </w:r>
      <w:r>
        <w:t xml:space="preserve">- Study One Study1 - cue A = rund, cue B eckig …if one of them is easier</w:t>
      </w:r>
    </w:p>
    <w:p>
      <w:pPr>
        <w:pStyle w:val="Textkrper"/>
      </w:pPr>
      <w:r>
        <w:t xml:space="preserve">Reaction Times</w:t>
      </w:r>
      <w:r>
        <w:t xml:space="preserve"> </w:t>
      </w:r>
      <w:r>
        <w:t xml:space="preserve">- just reaction times and perc correct across aged</w:t>
      </w:r>
    </w:p>
    <w:bookmarkEnd w:id="55"/>
    <w:bookmarkStart w:id="56" w:name="discussion"/>
    <w:p>
      <w:pPr>
        <w:pStyle w:val="berschrift1"/>
      </w:pPr>
      <w:r>
        <w:t xml:space="preserve">Discussion</w:t>
      </w:r>
    </w:p>
    <w:p>
      <w:pPr>
        <w:pStyle w:val="FirstParagraph"/>
      </w:pPr>
      <w:r>
        <w:t xml:space="preserve">See googledocs for drafts of the intro and discussion</w:t>
      </w:r>
    </w:p>
    <w:p>
      <w:r>
        <w:br w:type="page"/>
      </w:r>
    </w:p>
    <w:bookmarkEnd w:id="56"/>
    <w:bookmarkStart w:id="59" w:name="references"/>
    <w:p>
      <w:pPr>
        <w:pStyle w:val="berschrift1"/>
      </w:pPr>
      <w:r>
        <w:t xml:space="preserve">References</w:t>
      </w:r>
    </w:p>
    <w:bookmarkStart w:id="58" w:name="refs"/>
    <w:bookmarkStart w:id="57"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57"/>
    <w:bookmarkEnd w:id="58"/>
    <w:p>
      <w:r>
        <w:br w:type="page"/>
      </w:r>
    </w:p>
    <w:bookmarkEnd w:id="59"/>
    <w:bookmarkStart w:id="68" w:name="appendix-a---participants-and-exclusions"/>
    <w:p>
      <w:pPr>
        <w:pStyle w:val="berschrift1"/>
      </w:pPr>
      <w:r>
        <w:t xml:space="preserve">Appendix A - Participants and Exclusions</w:t>
      </w:r>
    </w:p>
    <w:p>
      <w:pPr>
        <w:pStyle w:val="FirstParagraph"/>
      </w:pPr>
      <w:r>
        <w:t xml:space="preserve">Data collection aimed at testing two children per month of age between the third and seventh birthday for a minimum of 96 children per study. For an overview of the sample distribution, please see figure</w:t>
      </w:r>
      <w:r>
        <w:t xml:space="preserve"> </w:t>
      </w:r>
      <w:r>
        <w:t xml:space="preserve">2</w:t>
      </w:r>
      <w:r>
        <w:t xml:space="preserve">.</w:t>
      </w:r>
    </w:p>
    <w:p>
      <w:pPr>
        <w:pStyle w:val="CaptionedFigure"/>
      </w:pPr>
      <w:r>
        <w:drawing>
          <wp:inline>
            <wp:extent cx="4587290" cy="3669832"/>
            <wp:effectExtent b="0" l="0" r="0" t="0"/>
            <wp:docPr descr="Figure 2: Illustration of participants across the age range." title="" id="61" name="Picture"/>
            <a:graphic>
              <a:graphicData uri="http://schemas.openxmlformats.org/drawingml/2006/picture">
                <pic:pic>
                  <pic:nvPicPr>
                    <pic:cNvPr descr="symlit_rep_manuscript_files/figure-docx/suppl-participants-dots-1.png" id="62"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3" w:name="fig:suppl-participants-dots"/>
      <w:bookmarkEnd w:id="63"/>
      <w:r>
        <w:rPr>
          <w:i/>
          <w:iCs/>
        </w:rPr>
        <w:t xml:space="preserve">Figure</w:t>
      </w:r>
      <w:r>
        <w:t xml:space="preserve"> </w:t>
      </w:r>
      <w:r>
        <w:t xml:space="preserve">2. Illustration of participants across the age range.</w:t>
      </w:r>
    </w:p>
    <w:p>
      <w:pPr>
        <w:pStyle w:val="Textkrper"/>
      </w:pPr>
      <w:r>
        <w:t xml:space="preserve">The total number of participants in all three studies comprises XX children. In addition, XX children were tested but not included in the data set due to XXXXXXXX. For an overview of how the respective exclusions are distributed across the age range, please see figure</w:t>
      </w:r>
      <w:r>
        <w:t xml:space="preserve"> </w:t>
      </w:r>
      <w:r>
        <w:t xml:space="preserve">3</w:t>
      </w:r>
      <w:r>
        <w:t xml:space="preserve">. Exclusions due to low performance during familiarization occured almost exclusively between the third and fourth birthday. All other exclusion criteria appear to be randomly distributed across the age range.</w:t>
      </w:r>
    </w:p>
    <w:p>
      <w:pPr>
        <w:pStyle w:val="CaptionedFigure"/>
      </w:pPr>
      <w:r>
        <w:drawing>
          <wp:inline>
            <wp:extent cx="4587290" cy="3669832"/>
            <wp:effectExtent b="0" l="0" r="0" t="0"/>
            <wp:docPr descr="Figure 3: Illustration of exclusions across the age range." title="" id="65" name="Picture"/>
            <a:graphic>
              <a:graphicData uri="http://schemas.openxmlformats.org/drawingml/2006/picture">
                <pic:pic>
                  <pic:nvPicPr>
                    <pic:cNvPr descr="symlit_rep_manuscript_files/figure-docx/suppl-drops-dots-1.png" id="66"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7" w:name="fig:suppl-drops-dots"/>
      <w:bookmarkEnd w:id="67"/>
      <w:r>
        <w:rPr>
          <w:i/>
          <w:iCs/>
        </w:rPr>
        <w:t xml:space="preserve">Figure</w:t>
      </w:r>
      <w:r>
        <w:t xml:space="preserve"> </w:t>
      </w:r>
      <w:r>
        <w:t xml:space="preserve">3. Illustration of exclusions across the age range.</w:t>
      </w:r>
    </w:p>
    <w:p>
      <w:r>
        <w:br w:type="page"/>
      </w:r>
    </w:p>
    <w:bookmarkEnd w:id="68"/>
    <w:bookmarkStart w:id="81" w:name="stimulus-material"/>
    <w:p>
      <w:pPr>
        <w:pStyle w:val="berschrift1"/>
      </w:pPr>
      <w:r>
        <w:t xml:space="preserve">Stimulus Material</w:t>
      </w:r>
    </w:p>
    <w:bookmarkStart w:id="72" w:name="some-graphic"/>
    <w:p>
      <w:pPr>
        <w:pStyle w:val="berschrift2"/>
      </w:pPr>
      <w:r>
        <w:t xml:space="preserve">Some graphic</w:t>
      </w:r>
    </w:p>
    <w:p>
      <w:pPr>
        <w:pStyle w:val="CaptionedFigure"/>
      </w:pPr>
      <w:r>
        <w:drawing>
          <wp:inline>
            <wp:extent cx="5969000" cy="4465920"/>
            <wp:effectExtent b="0" l="0" r="0" t="0"/>
            <wp:docPr descr="Figure 4: Check this out" title="" id="69" name="Picture"/>
            <a:graphic>
              <a:graphicData uri="http://schemas.openxmlformats.org/drawingml/2006/picture">
                <pic:pic>
                  <pic:nvPicPr>
                    <pic:cNvPr descr="../illustrations/Symlit_Rep_Setup_fromarrows.png" id="70"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1" w:name="fig:suppl-setup3"/>
      <w:bookmarkEnd w:id="71"/>
      <w:r>
        <w:rPr>
          <w:i/>
          <w:iCs/>
        </w:rPr>
        <w:t xml:space="preserve">Figure</w:t>
      </w:r>
      <w:r>
        <w:t xml:space="preserve"> </w:t>
      </w:r>
      <w:r>
        <w:t xml:space="preserve">4. Check this out</w:t>
      </w:r>
    </w:p>
    <w:bookmarkEnd w:id="72"/>
    <w:bookmarkStart w:id="76" w:name="some-graphic-1"/>
    <w:p>
      <w:pPr>
        <w:pStyle w:val="berschrift2"/>
      </w:pPr>
      <w:r>
        <w:t xml:space="preserve">Some graphic</w:t>
      </w:r>
    </w:p>
    <w:p>
      <w:pPr>
        <w:pStyle w:val="CaptionedFigure"/>
      </w:pPr>
      <w:r>
        <w:drawing>
          <wp:inline>
            <wp:extent cx="5969000" cy="4465920"/>
            <wp:effectExtent b="0" l="0" r="0" t="0"/>
            <wp:docPr descr="Figure 5: Check this out" title="" id="73" name="Picture"/>
            <a:graphic>
              <a:graphicData uri="http://schemas.openxmlformats.org/drawingml/2006/picture">
                <pic:pic>
                  <pic:nvPicPr>
                    <pic:cNvPr descr="../illustrations/Symlit_Rep_Setup_fromarrows.png" id="74"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5" w:name="fig:suppl-setup4"/>
      <w:bookmarkEnd w:id="75"/>
      <w:r>
        <w:rPr>
          <w:i/>
          <w:iCs/>
        </w:rPr>
        <w:t xml:space="preserve">Figure</w:t>
      </w:r>
      <w:r>
        <w:t xml:space="preserve"> </w:t>
      </w:r>
      <w:r>
        <w:t xml:space="preserve">5. Check this out</w:t>
      </w:r>
    </w:p>
    <w:bookmarkEnd w:id="76"/>
    <w:bookmarkStart w:id="80" w:name="some-graphic-2"/>
    <w:p>
      <w:pPr>
        <w:pStyle w:val="berschrift2"/>
      </w:pPr>
      <w:r>
        <w:t xml:space="preserve">Some graphic</w:t>
      </w:r>
    </w:p>
    <w:p>
      <w:pPr>
        <w:pStyle w:val="CaptionedFigure"/>
      </w:pPr>
      <w:r>
        <w:drawing>
          <wp:inline>
            <wp:extent cx="5969000" cy="4465920"/>
            <wp:effectExtent b="0" l="0" r="0" t="0"/>
            <wp:docPr descr="Figure 6: Check this out" title="" id="77" name="Picture"/>
            <a:graphic>
              <a:graphicData uri="http://schemas.openxmlformats.org/drawingml/2006/picture">
                <pic:pic>
                  <pic:nvPicPr>
                    <pic:cNvPr descr="../illustrations/Symlit_Rep_Setup_fromarrows.png" id="78"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9" w:name="fig:suppl-setup5"/>
      <w:bookmarkEnd w:id="79"/>
      <w:r>
        <w:rPr>
          <w:i/>
          <w:iCs/>
        </w:rPr>
        <w:t xml:space="preserve">Figure</w:t>
      </w:r>
      <w:r>
        <w:t xml:space="preserve"> </w:t>
      </w:r>
      <w:r>
        <w:t xml:space="preserve">6. Check this out</w:t>
      </w:r>
    </w:p>
    <w:p>
      <w:r>
        <w:br w:type="page"/>
      </w:r>
    </w:p>
    <w:bookmarkEnd w:id="80"/>
    <w:bookmarkEnd w:id="81"/>
    <w:bookmarkStart w:id="85" w:name="appendix-c---descriptive-statistics"/>
    <w:p>
      <w:pPr>
        <w:pStyle w:val="berschrift1"/>
      </w:pPr>
      <w:r>
        <w:t xml:space="preserve">Appendix C - Descriptive Statistics</w:t>
      </w:r>
    </w:p>
    <w:p>
      <w:pPr>
        <w:pStyle w:val="TableCaption"/>
      </w:pPr>
      <w:bookmarkStart w:id="82" w:name="tab:suppl-descriptives-S1"/>
      <w:bookmarkEnd w:id="82"/>
      <w:r>
        <w:t xml:space="preserve">Table 1:</w:t>
      </w:r>
      <w:r>
        <w:t xml:space="preserve"> </w:t>
      </w:r>
      <w:r>
        <w:t xml:space="preserve">Descriptive Analyses for Study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bl>
    <w:p>
      <w:r>
        <w:br w:type="page"/>
      </w:r>
    </w:p>
    <w:p>
      <w:pPr>
        <w:pStyle w:val="TableCaption"/>
      </w:pPr>
      <w:bookmarkStart w:id="83" w:name="tab:suppl-descriptives-S2"/>
      <w:bookmarkEnd w:id="83"/>
      <w:r>
        <w:t xml:space="preserve">Table 2:</w:t>
      </w:r>
      <w:r>
        <w:t xml:space="preserve"> </w:t>
      </w:r>
      <w:r>
        <w:t xml:space="preserve">Descriptive Analyses for Study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bl>
    <w:p>
      <w:r>
        <w:br w:type="page"/>
      </w:r>
    </w:p>
    <w:p>
      <w:pPr>
        <w:pStyle w:val="TableCaption"/>
      </w:pPr>
      <w:bookmarkStart w:id="84" w:name="tab:suppl-descriptives-S3"/>
      <w:bookmarkEnd w:id="84"/>
      <w:r>
        <w:t xml:space="preserve">Table 3:</w:t>
      </w:r>
      <w:r>
        <w:t xml:space="preserve"> </w:t>
      </w:r>
      <w:r>
        <w:t xml:space="preserve">Descriptive Analyses for Study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bl>
    <w:p>
      <w:r>
        <w:br w:type="page"/>
      </w:r>
    </w:p>
    <w:bookmarkEnd w:id="85"/>
    <w:bookmarkStart w:id="89"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86" w:name="study-1-1"/>
    <w:p>
      <w:pPr>
        <w:pStyle w:val="berschrift2"/>
      </w:pPr>
      <w:r>
        <w:t xml:space="preserve">Study 1</w:t>
      </w:r>
    </w:p>
    <w:p>
      <w:pPr>
        <w:pStyle w:val="FirstParagraph"/>
      </w:pPr>
      <w:r>
        <w:t xml:space="preserve">Model diagnostics were are provided for both full and null model in study 1. Rhat values in both models were equal to one, indicating convergence across all chains. Effective sample sizes for all fixed effects in the full model (Bulk ESS, mean = 2555, range 1760 - 3766) and the null model (Bulk ESS, mean = 2253, range 1706 - 3444) were &gt; 1000, indicating reliable posterior estimations.</w:t>
      </w:r>
    </w:p>
    <w:bookmarkEnd w:id="86"/>
    <w:bookmarkStart w:id="87" w:name="study-2-1"/>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87"/>
    <w:bookmarkStart w:id="88" w:name="study-3-1"/>
    <w:p>
      <w:pPr>
        <w:pStyle w:val="berschrift2"/>
      </w:pPr>
      <w:r>
        <w:t xml:space="preserve">Study 3</w:t>
      </w:r>
    </w:p>
    <w:p>
      <w:pPr>
        <w:pStyle w:val="FirstParagraph"/>
      </w:pPr>
      <w:r>
        <w:t xml:space="preserve">Additional Tables and illustrations for the convenience of the reader. Add illustrations they said; it will add value they said.</w:t>
      </w:r>
    </w:p>
    <w:p>
      <w:r>
        <w:br w:type="page"/>
      </w:r>
    </w:p>
    <w:bookmarkEnd w:id="88"/>
    <w:bookmarkEnd w:id="89"/>
    <w:bookmarkStart w:id="93"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90"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90"/>
    <w:bookmarkStart w:id="91"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91"/>
    <w:bookmarkStart w:id="92"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92"/>
    <w:bookmarkEnd w:id="93"/>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COMPREHENSION OF SYMBOL-OBJECT-RELATIONSHIPS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COMPREHENSION OF SYMBOL-OBJECT-RELATIONSHIPS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hyperlink" Id="rId28" Target="http://mc-stan.org/" TargetMode="External" /></Relationships>
</file>

<file path=word/_rels/footnotes.xml.rels><?xml version="1.0" encoding="UTF-8"?><Relationships xmlns="http://schemas.openxmlformats.org/package/2006/relationships"><Relationship Type="http://schemas.openxmlformats.org/officeDocument/2006/relationships/hyperlink" Id="rId28" Target="http://mc-st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symbol-object-relationships in the graphic domain</dc:title>
  <dc:creator/>
  <cp:keywords/>
  <dcterms:created xsi:type="dcterms:W3CDTF">2025-04-10T13:32:40Z</dcterms:created>
  <dcterms:modified xsi:type="dcterms:W3CDTF">2025-04-10T13:32:40Z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Comprehension of symbol-object-relationships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