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60E3" w14:textId="77777777" w:rsidR="00DA47B4" w:rsidRDefault="00000000">
      <w:pPr>
        <w:pStyle w:val="Titel"/>
      </w:pPr>
      <w:r>
        <w:t>Young Children’s Spontaneous Comprehension of Symbol-Referent Relationships in the Graphic Domain</w:t>
      </w:r>
    </w:p>
    <w:p w14:paraId="67D0DDEC" w14:textId="77777777" w:rsidR="00DA47B4" w:rsidRDefault="00000000">
      <w:pPr>
        <w:pStyle w:val="Author"/>
      </w:pPr>
      <w:r>
        <w:t>Gregor Kachel</w:t>
      </w:r>
      <w:r>
        <w:rPr>
          <w:vertAlign w:val="superscript"/>
        </w:rPr>
        <w:t>1</w:t>
      </w:r>
      <w:r>
        <w:t>, Daniel Haun</w:t>
      </w:r>
      <w:r>
        <w:rPr>
          <w:vertAlign w:val="superscript"/>
        </w:rPr>
        <w:t>2</w:t>
      </w:r>
      <w:r>
        <w:t>, &amp; Manuel Bohn</w:t>
      </w:r>
      <w:r>
        <w:rPr>
          <w:vertAlign w:val="superscript"/>
        </w:rPr>
        <w:t>1</w:t>
      </w:r>
    </w:p>
    <w:p w14:paraId="52DE9182" w14:textId="77777777" w:rsidR="00DA47B4" w:rsidRDefault="00000000">
      <w:pPr>
        <w:pStyle w:val="Author"/>
      </w:pPr>
      <w:r>
        <w:rPr>
          <w:vertAlign w:val="superscript"/>
        </w:rPr>
        <w:t>1</w:t>
      </w:r>
      <w:r>
        <w:t xml:space="preserve"> Leuphana University</w:t>
      </w:r>
    </w:p>
    <w:p w14:paraId="3F80FBD9" w14:textId="77777777" w:rsidR="00DA47B4" w:rsidRDefault="00000000">
      <w:pPr>
        <w:pStyle w:val="Author"/>
      </w:pPr>
      <w:r>
        <w:rPr>
          <w:vertAlign w:val="superscript"/>
        </w:rPr>
        <w:t>2</w:t>
      </w:r>
      <w:r>
        <w:t xml:space="preserve"> Max-Planck-Institute for Evolutionary Anthropology</w:t>
      </w:r>
    </w:p>
    <w:p w14:paraId="524A8295" w14:textId="77777777" w:rsidR="00DA47B4" w:rsidRDefault="00000000">
      <w:pPr>
        <w:pStyle w:val="Textkrper"/>
      </w:pPr>
      <w:r>
        <w:t>                                                                                                                                                    </w:t>
      </w:r>
    </w:p>
    <w:p w14:paraId="0F80644D" w14:textId="77777777" w:rsidR="00DA47B4" w:rsidRDefault="00000000">
      <w:pPr>
        <w:pStyle w:val="Textkrper"/>
      </w:pPr>
      <w:r>
        <w:t> </w:t>
      </w:r>
    </w:p>
    <w:p w14:paraId="4B948D1A" w14:textId="77777777" w:rsidR="00DA47B4" w:rsidRDefault="00000000">
      <w:pPr>
        <w:pStyle w:val="authornote-title"/>
        <w:framePr w:wrap="notBeside"/>
      </w:pPr>
      <w:r>
        <w:lastRenderedPageBreak/>
        <w:t>Author note</w:t>
      </w:r>
    </w:p>
    <w:p w14:paraId="1CF601F4" w14:textId="77777777" w:rsidR="00DA47B4" w:rsidRDefault="00000000">
      <w:pPr>
        <w:pStyle w:val="authornote"/>
        <w:framePr w:wrap="notBeside"/>
      </w:pPr>
      <w:r>
        <w:rPr>
          <w:i/>
          <w:iCs/>
        </w:rPr>
        <w:t>Ethics, consent and conflict of interest</w:t>
      </w:r>
      <w:r>
        <w:t>: The study obtained ethical clearance from the MPG Ethics Commission in Munich, Germany, falling under an umbrella ethics application (Appl. No. 2021_45). Informed consent has been obtained from all participants. The authors declare no conflict of interest.</w:t>
      </w:r>
    </w:p>
    <w:p w14:paraId="24B5A983" w14:textId="77777777" w:rsidR="00DA47B4" w:rsidRDefault="00000000">
      <w:pPr>
        <w:pStyle w:val="authornote"/>
        <w:framePr w:wrap="notBeside"/>
      </w:pPr>
      <w:r>
        <w:rPr>
          <w:i/>
          <w:iCs/>
        </w:rPr>
        <w:t>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 </w:t>
      </w:r>
      <w:hyperlink r:id="rId7">
        <w:r>
          <w:rPr>
            <w:rStyle w:val="Hyperlink"/>
          </w:rPr>
          <w:t>https://github.com/GregorKachel/symlit_rep_manuscript</w:t>
        </w:r>
      </w:hyperlink>
      <w:r>
        <w:t>.</w:t>
      </w:r>
    </w:p>
    <w:p w14:paraId="6834BF15" w14:textId="77777777" w:rsidR="00DA47B4" w:rsidRDefault="00000000">
      <w:pPr>
        <w:pStyle w:val="authornote"/>
        <w:framePr w:wrap="notBeside"/>
      </w:pPr>
      <w:r>
        <w:rPr>
          <w:i/>
          <w:iCs/>
        </w:rPr>
        <w:t>Acknowledgments</w:t>
      </w:r>
      <w:r>
        <w:t>: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14:paraId="4A93872F" w14:textId="77777777" w:rsidR="00DA47B4" w:rsidRDefault="00000000">
      <w:pPr>
        <w:pStyle w:val="authornote"/>
        <w:framePr w:wrap="notBeside"/>
      </w:pPr>
      <w:r>
        <w:t>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18B5E7E6" w14:textId="77777777" w:rsidR="00DA47B4" w:rsidRDefault="00000000">
      <w:pPr>
        <w:pStyle w:val="authornote"/>
        <w:framePr w:wrap="notBeside"/>
      </w:pPr>
      <w:r>
        <w:t>Correspondence concerning this article should be addressed to Gregor Kachel, Universitätsallee 1, C1.008a, 21335 Lüneburg. E-mail: gregor.kachel@leuphana.de</w:t>
      </w:r>
    </w:p>
    <w:p w14:paraId="158E2385" w14:textId="77777777" w:rsidR="00DA47B4" w:rsidRDefault="00000000">
      <w:pPr>
        <w:pStyle w:val="h1-pagebreak"/>
      </w:pPr>
      <w:r>
        <w:lastRenderedPageBreak/>
        <w:t>Abstract</w:t>
      </w:r>
    </w:p>
    <w:p w14:paraId="08F56B4E" w14:textId="77777777" w:rsidR="00DA47B4" w:rsidRDefault="00000000">
      <w:pPr>
        <w:pStyle w:val="Textkrper"/>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major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A223579" w14:textId="77777777" w:rsidR="00DA47B4" w:rsidRDefault="00000000">
      <w:pPr>
        <w:pStyle w:val="Textkrper"/>
      </w:pPr>
      <w:r>
        <w:rPr>
          <w:i/>
          <w:iCs/>
        </w:rPr>
        <w:t>Keywords:</w:t>
      </w:r>
      <w:r>
        <w:t xml:space="preserve"> Graphic Communication, Pragmatics, Symbol-Referent-Relationships, Iconicity, Representation, Analogical Reasoning</w:t>
      </w:r>
    </w:p>
    <w:p w14:paraId="1D6A4E42" w14:textId="77777777" w:rsidR="00DA47B4" w:rsidRDefault="00000000">
      <w:pPr>
        <w:pStyle w:val="Textkrper"/>
      </w:pPr>
      <w:r>
        <w:rPr>
          <w:i/>
          <w:iCs/>
        </w:rPr>
        <w:t>Word count:</w:t>
      </w:r>
      <w:r>
        <w:t xml:space="preserve"> 12.420</w:t>
      </w:r>
    </w:p>
    <w:p w14:paraId="1248F1A7" w14:textId="77777777" w:rsidR="00DA47B4" w:rsidRDefault="00000000">
      <w:pPr>
        <w:pStyle w:val="h1-pagebreak"/>
      </w:pPr>
      <w:r>
        <w:lastRenderedPageBreak/>
        <w:t>Young Children’s Spontaneous Comprehension of Symbol-Referent Relationships in the Graphic Domain</w:t>
      </w:r>
    </w:p>
    <w:p w14:paraId="136B4593" w14:textId="77777777" w:rsidR="00DA47B4" w:rsidRDefault="00000000">
      <w:pPr>
        <w:pStyle w:val="berschrift2"/>
      </w:pPr>
      <w:bookmarkStart w:id="0" w:name="lay-summary-max.-120-words"/>
      <w:r>
        <w:t>Lay Summary (max. 120 words)</w:t>
      </w:r>
    </w:p>
    <w:p w14:paraId="1558CAD5" w14:textId="77777777" w:rsidR="00DA47B4" w:rsidRDefault="00000000">
      <w:pPr>
        <w:pStyle w:val="FirstParagrap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pictures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p>
    <w:p w14:paraId="0A6A0A39" w14:textId="77777777" w:rsidR="00DA47B4" w:rsidRDefault="00000000">
      <w:pPr>
        <w:pStyle w:val="berschrift1"/>
      </w:pPr>
      <w:bookmarkStart w:id="1" w:name="introduction"/>
      <w:bookmarkEnd w:id="0"/>
      <w:r>
        <w:t>Introduction</w:t>
      </w:r>
    </w:p>
    <w:p w14:paraId="2116F311" w14:textId="77777777" w:rsidR="00DA47B4" w:rsidRDefault="00000000">
      <w:pPr>
        <w:pStyle w:val="FirstParagraph"/>
      </w:pPr>
      <w:r>
        <w:t>Children’s developing understanding of symbols in language, gesture or symbolic artefacts is central to their enculturation and demonstrates cognitive capacities that define the human mind (Tomasello, 2014; Vygotsky, 1980). The acquisition of language and – much later – literacy (Bruner, 1996; Dehaene, 2009; Olson, 1994) are arguably two of the most significant achievements in cultural learning that individuals undergo with dramatic consequences for their cognitive abilities (Karmiloff-Smith, 1994). In order to better understand the underlying processes, researchers have worked on gesture, words, photographs, representative drawings, maps, models, simulacra, figurines and sound symbolism (Callaghan &amp; Corbit, 2015).</w:t>
      </w:r>
    </w:p>
    <w:p w14:paraId="08779C29" w14:textId="77777777" w:rsidR="00DA47B4" w:rsidRDefault="00000000">
      <w:pPr>
        <w:pStyle w:val="Textkrper"/>
      </w:pPr>
      <w:r>
        <w:lastRenderedPageBreak/>
        <w:t>The work of Judy DeLoache and colleagues has been of seminal importance in sketching children’s ability to exploit the informative value of symbolic artefacts. In various studies, they have prompted children to find the location of a hidden toy by providing them with cues in the form of scale models, pictures, videos and maps representing a search space (DeLoache, 2004). Whereas even 30-month-old children fail to retrieve hidden items by using instructions based on replicas like a model-room, 36-month-olds excel. This pattern of results in symbolic object-choice-tasks has been replicated many times by her group and other labs (DeLoache, 2011) and demonstrates that children’s symbolic understanding undergoes a rapid development in the third year of life (Callaghan &amp; Corbit, 2015; DeLoache, 2004).</w:t>
      </w:r>
    </w:p>
    <w:p w14:paraId="6FAE8138" w14:textId="77777777" w:rsidR="00DA47B4" w:rsidRDefault="00000000">
      <w:pPr>
        <w:pStyle w:val="Textkrper"/>
      </w:pPr>
      <w:r>
        <w:t>A similar developmental trajectory has been observed in the understanding of graphic representations. Iconicity provides an entry point in this domain and even in the first year, infants are sensitive to the similarity between a picture and its 3D referent (DeLoache, Pierroutsakos, Uttal, Rosengren, &amp; Gottlieb, 1998). While pictures can incite manual exploration before the first birthday (Pierroutsakos &amp; DeLoache, 2003) this is replaced with pointing to the depiction in the second year (DeLoache et al., 1998). Around the same age, toddlers understand that pictures refer to concepts (Allen Preissler &amp; Carey, 2004) in learning words: 15- and 18-month-olds can extend newly learned labels both from pictures to objects and from objects to pictures (Ganea, Pickard, &amp; DeLoache, 2008). From 2,5 to 4, children use the shape of drawings to interpret them as long as the drawings are presented to them as having been produced intentionally (Gelman &amp; Ebeling, 1998). Yet, Callaghan (1999) found that two-year-olds were still at chance selecting an item depicted in representative drawings whereas three- and four-year-olds succeeded. Children’s comprehension of graphic depictions remains fragile until the end of the third year. Callaghan (2000) presented children either with a realistic pencil drawing, a stylized drawing or a replica model and then prompted children to choose what was depicted from a set of two referents. 30-</w:t>
      </w:r>
      <w:r>
        <w:lastRenderedPageBreak/>
        <w:t>months-olds did not benefit from iconicity and failed to use pictures and replicas as symbols. 36-month-olds succeeded in all conditions and benefitted from iconicity and the availability of verbal labels during the task (Callaghan, 2000; DeLoache, 1995).</w:t>
      </w:r>
    </w:p>
    <w:p w14:paraId="14A0479E" w14:textId="77777777" w:rsidR="00DA47B4" w:rsidRDefault="00000000">
      <w:pPr>
        <w:pStyle w:val="Textkrper"/>
      </w:pPr>
      <w:r>
        <w:t>xxxxxxxxxxxxxxxxxx</w:t>
      </w:r>
    </w:p>
    <w:p w14:paraId="63E83F0E" w14:textId="77777777" w:rsidR="00DA47B4" w:rsidRDefault="00000000">
      <w:pPr>
        <w:pStyle w:val="Textkrper"/>
      </w:pPr>
      <w:r>
        <w:t>Matching graphic representations with each other is much less demanding or even so trivial that it is rarely employed in experimental contexts. Finding a graphical item in a drawn scene as is often done in picture-book reading routines or visual search paradigms and is generally accessible for children at the end of the third year (Gerhardstein &amp; Rovee-Collier, 2002). Matching identical items in match-to-sample tasks is occasionally used as a training in research on analogical reasoning and generally provides no challenge for children older than three (Kroupin &amp; Carey, 2022b).</w:t>
      </w:r>
    </w:p>
    <w:p w14:paraId="5FC7E0F0" w14:textId="77777777" w:rsidR="00DA47B4" w:rsidRDefault="00000000">
      <w:pPr>
        <w:pStyle w:val="Textkrper"/>
      </w:pPr>
      <w:r>
        <w:t>Very relevant moore light switch (Moore, Liebal, &amp; Tomasello, 2013)</w:t>
      </w:r>
    </w:p>
    <w:p w14:paraId="120D43C3" w14:textId="77777777" w:rsidR="00DA47B4" w:rsidRDefault="00000000">
      <w:pPr>
        <w:pStyle w:val="Textkrper"/>
      </w:pPr>
      <w:r>
        <w:t>The literature focuses on iconicity and similarity relations where children</w:t>
      </w:r>
    </w:p>
    <w:p w14:paraId="21ED4AE3" w14:textId="77777777" w:rsidR="00DA47B4" w:rsidRDefault="00000000">
      <w:pPr>
        <w:pStyle w:val="Textkrper"/>
      </w:pPr>
      <w:r>
        <w:t>On the other hand, it may be possible to establish reference drawing on more abstract or conceptual symbol-referent relationships such as size, number, orientation, position or gestalt principles.</w:t>
      </w:r>
    </w:p>
    <w:p w14:paraId="275E9F0A" w14:textId="77777777" w:rsidR="00DA47B4" w:rsidRDefault="00000000">
      <w:pPr>
        <w:pStyle w:val="Textkrper"/>
      </w:pPr>
      <w:r>
        <w:t>When departing from this to - for example - specifically investigate the role of size as a dimension for establishing symbol-referent relationships, studies in graphic communication rely on studies like:</w:t>
      </w:r>
      <w:r>
        <w:br/>
      </w:r>
    </w:p>
    <w:p w14:paraId="7407FB6D" w14:textId="77777777" w:rsidR="00DA47B4" w:rsidRDefault="00000000">
      <w:pPr>
        <w:pStyle w:val="Compact"/>
        <w:numPr>
          <w:ilvl w:val="0"/>
          <w:numId w:val="24"/>
        </w:numPr>
      </w:pPr>
      <w:r>
        <w:t>bloom 1981</w:t>
      </w:r>
    </w:p>
    <w:p w14:paraId="714578A9" w14:textId="77777777" w:rsidR="00DA47B4" w:rsidRDefault="00000000">
      <w:pPr>
        <w:numPr>
          <w:ilvl w:val="0"/>
          <w:numId w:val="25"/>
        </w:numPr>
      </w:pPr>
      <w:r>
        <w:lastRenderedPageBreak/>
        <w:t>x</w:t>
      </w:r>
    </w:p>
    <w:p w14:paraId="1132D32C" w14:textId="77777777" w:rsidR="00DA47B4" w:rsidRDefault="00000000">
      <w:pPr>
        <w:numPr>
          <w:ilvl w:val="0"/>
          <w:numId w:val="25"/>
        </w:numPr>
      </w:pPr>
      <w:r>
        <w:t>y</w:t>
      </w:r>
    </w:p>
    <w:p w14:paraId="65DC087D" w14:textId="77777777" w:rsidR="00DA47B4" w:rsidRDefault="00000000">
      <w:pPr>
        <w:pStyle w:val="FirstParagraph"/>
      </w:pPr>
      <w:r>
        <w:t>logic of the object-choice task and the steps involved</w:t>
      </w:r>
    </w:p>
    <w:p w14:paraId="453E8484" w14:textId="77777777" w:rsidR="00DA47B4" w:rsidRDefault="00000000">
      <w:pPr>
        <w:pStyle w:val="Textkrper"/>
      </w:pPr>
      <w:r>
        <w:t>introduce the term “graphic symbols” in contrast to verbal or gestural and maybe in contrast to conventional graphic symbols like letters or numerals.</w:t>
      </w:r>
    </w:p>
    <w:p w14:paraId="0A6EA561" w14:textId="77777777" w:rsidR="00DA47B4" w:rsidRDefault="00000000">
      <w:pPr>
        <w:pStyle w:val="Textkrper"/>
      </w:pPr>
      <w:r>
        <w:t>Often such studies require children</w:t>
      </w:r>
    </w:p>
    <w:p w14:paraId="51CB4384" w14:textId="77777777" w:rsidR="00DA47B4" w:rsidRDefault="00000000">
      <w:pPr>
        <w:numPr>
          <w:ilvl w:val="0"/>
          <w:numId w:val="26"/>
        </w:numPr>
      </w:pPr>
      <w:r>
        <w:t>to switch from 3D to 2D contexts,</w:t>
      </w:r>
    </w:p>
    <w:p w14:paraId="7DEA1184" w14:textId="77777777" w:rsidR="00DA47B4" w:rsidRDefault="00000000">
      <w:pPr>
        <w:numPr>
          <w:ilvl w:val="0"/>
          <w:numId w:val="26"/>
        </w:numPr>
      </w:pPr>
      <w:r>
        <w:t>test only one symbol-referent relation, often not in isolated form</w:t>
      </w:r>
    </w:p>
    <w:p w14:paraId="17AEEABE" w14:textId="77777777" w:rsidR="00DA47B4" w:rsidRDefault="00000000">
      <w:pPr>
        <w:numPr>
          <w:ilvl w:val="0"/>
          <w:numId w:val="26"/>
        </w:numPr>
      </w:pPr>
      <w:r>
        <w:t>involve the depiction of real word objects –&gt; interference issues that may aid establishing reference by familiarity, conventionalized icons, or familiar and canonic ways of representation (e.g. a house as a square with a triangle on top)</w:t>
      </w:r>
    </w:p>
    <w:p w14:paraId="2C70432E" w14:textId="77777777" w:rsidR="00DA47B4" w:rsidRDefault="00000000">
      <w:pPr>
        <w:numPr>
          <w:ilvl w:val="0"/>
          <w:numId w:val="26"/>
        </w:numPr>
      </w:pPr>
      <w:r>
        <w:t>involve few trials</w:t>
      </w:r>
    </w:p>
    <w:p w14:paraId="69CE127A" w14:textId="77777777" w:rsidR="00DA47B4" w:rsidRDefault="00000000">
      <w:pPr>
        <w:numPr>
          <w:ilvl w:val="0"/>
          <w:numId w:val="26"/>
        </w:numPr>
      </w:pPr>
      <w:r>
        <w:t>making it hard to compare results across experiments</w:t>
      </w:r>
    </w:p>
    <w:p w14:paraId="21A7B933" w14:textId="77777777" w:rsidR="00DA47B4" w:rsidRDefault="00000000">
      <w:pPr>
        <w:numPr>
          <w:ilvl w:val="0"/>
          <w:numId w:val="26"/>
        </w:numPr>
      </w:pPr>
      <w:r>
        <w:t>another methodological problem may be</w:t>
      </w:r>
    </w:p>
    <w:p w14:paraId="3A789C10" w14:textId="77777777" w:rsidR="00DA47B4" w:rsidRDefault="00000000">
      <w:pPr>
        <w:numPr>
          <w:ilvl w:val="0"/>
          <w:numId w:val="26"/>
        </w:numPr>
      </w:pPr>
      <w:r>
        <w:t>In order to sketch out when children as a group understand when various symbol-referent relationships and sketch out</w:t>
      </w:r>
    </w:p>
    <w:p w14:paraId="4007F70A" w14:textId="77777777" w:rsidR="00DA47B4" w:rsidRDefault="00000000">
      <w:pPr>
        <w:pStyle w:val="FirstParagraph"/>
      </w:pPr>
      <w:r>
        <w:t>By reducing the stimuli,</w:t>
      </w:r>
    </w:p>
    <w:p w14:paraId="0C9D23B0" w14:textId="77777777" w:rsidR="00DA47B4" w:rsidRDefault="00000000">
      <w:pPr>
        <w:numPr>
          <w:ilvl w:val="0"/>
          <w:numId w:val="27"/>
        </w:numPr>
      </w:pPr>
      <w:r>
        <w:lastRenderedPageBreak/>
        <w:t>Do it in the most boiled down form… if they cannot do it here, all other cases may simply be more demanding</w:t>
      </w:r>
    </w:p>
    <w:p w14:paraId="036EBD61" w14:textId="77777777" w:rsidR="00DA47B4" w:rsidRDefault="00000000">
      <w:pPr>
        <w:numPr>
          <w:ilvl w:val="0"/>
          <w:numId w:val="27"/>
        </w:numPr>
      </w:pPr>
      <w:r>
        <w:t>The tasks are then very similar to match-to-sample designs (xxx,xxx,), however, presented in a communicative context. Thereby, they add to the match-to-sample literature by showing when children can actually put their analogical reasoning skills to work for solving a communicative communication game.</w:t>
      </w:r>
    </w:p>
    <w:p w14:paraId="4A63ECAF" w14:textId="77777777" w:rsidR="00DA47B4" w:rsidRDefault="00000000">
      <w:pPr>
        <w:numPr>
          <w:ilvl w:val="0"/>
          <w:numId w:val="27"/>
        </w:numPr>
      </w:pPr>
      <w:r>
        <w:t>Violate Gricean Maxime: Why should an interlocutor not always choose the most straightforward wa of depicting the referent? Yet, all systems of communication rely on abstraction, reduce effort, reduce dimensions. Conventionalized systems of reference may</w:t>
      </w:r>
    </w:p>
    <w:p w14:paraId="767BC31F" w14:textId="77777777" w:rsidR="00DA47B4" w:rsidRDefault="00000000">
      <w:pPr>
        <w:pStyle w:val="FirstParagraph"/>
      </w:pPr>
      <w:r>
        <w:t>Gentner, D., &amp; Hoyos, C. (2017). Analogy and abstraction. Topics in cognitive science, 9(3), 672-693.</w:t>
      </w:r>
    </w:p>
    <w:p w14:paraId="04F97C65" w14:textId="77777777" w:rsidR="00DA47B4" w:rsidRDefault="00000000">
      <w:pPr>
        <w:pStyle w:val="Textkrper"/>
      </w:pPr>
      <w:r>
        <w:t xml:space="preserve">GENTNER: </w:t>
      </w:r>
      <w:r>
        <w:rPr>
          <w:b/>
          <w:bCs/>
        </w:rPr>
        <w:t>The more different the two comparands, the more abstract the generalization and the greater the scope of transfer. But, the more different the two comparands, (a) the less likely children are to spontaneously compare them; and (b) the less likely children [and other novices] are to be able to align them.</w:t>
      </w:r>
      <w:r>
        <w:t xml:space="preserve"> gentner2017analogy</w:t>
      </w:r>
    </w:p>
    <w:p w14:paraId="7225D32E" w14:textId="77777777" w:rsidR="00DA47B4" w:rsidRDefault="00000000">
      <w:pPr>
        <w:pStyle w:val="Textkrper"/>
      </w:pPr>
      <w:r>
        <w:t xml:space="preserve">EF demands in MTS as motivation for hypotheses </w:t>
      </w:r>
      <w:r>
        <w:rPr>
          <w:i/>
          <w:iCs/>
        </w:rPr>
        <w:t>why - for example - relational matches are more demanding than identity matches makes it much easier to transition towards the hypotheses in a straightforward manner</w:t>
      </w:r>
    </w:p>
    <w:p w14:paraId="30237729" w14:textId="77777777" w:rsidR="00DA47B4" w:rsidRDefault="00000000">
      <w:pPr>
        <w:pStyle w:val="Textkrper"/>
      </w:pPr>
      <w:r>
        <w:t>Symbolic OBJECT CHOICE STEP BY STEP…match to sample, pragmatic inference,</w:t>
      </w:r>
    </w:p>
    <w:p w14:paraId="5B9F25A7" w14:textId="77777777" w:rsidR="00DA47B4" w:rsidRDefault="00000000">
      <w:pPr>
        <w:pStyle w:val="Textkrper"/>
      </w:pPr>
      <w:r>
        <w:t>acknowledge: test is pragmatically slightly awkward test is “just match-to-sample”</w:t>
      </w:r>
    </w:p>
    <w:p w14:paraId="037455A2" w14:textId="77777777" w:rsidR="00DA47B4" w:rsidRDefault="00000000">
      <w:pPr>
        <w:pStyle w:val="Textkrper"/>
      </w:pPr>
      <w:r>
        <w:lastRenderedPageBreak/>
        <w:t>Communicative cues may be pointing, markers, replicas, drawings, iconic gesture or switching on a light (Callaghan, 2000; Tomasello, Call, Gluckmann, 1997;</w:t>
      </w:r>
    </w:p>
    <w:p w14:paraId="2105D2CA" w14:textId="77777777" w:rsidR="00DA47B4" w:rsidRDefault="00000000">
      <w:pPr>
        <w:pStyle w:val="Textkrper"/>
      </w:pPr>
      <w:r>
        <w:t>→ drawings and replica Callaghan, T. C. (2000). Factors affecting children’s graphic symbol use in the third year: Language, similarity, and iconicity. Cognitive Development, 15(2), 185-214.</w:t>
      </w:r>
    </w:p>
    <w:p w14:paraId="777445ED" w14:textId="77777777" w:rsidR="00DA47B4" w:rsidRDefault="00000000">
      <w:pPr>
        <w:pStyle w:val="Textkrper"/>
      </w:pPr>
      <w:r>
        <w:t>→ pointing, marker, replica Tomasello, M., Call, J., &amp; Gluckman, A. (1997). Comprehension of novel communicative signs by apes and human children. Child development, 68(6), 1067-1080.</w:t>
      </w:r>
    </w:p>
    <w:p w14:paraId="42AB9E4B" w14:textId="77777777" w:rsidR="00DA47B4" w:rsidRDefault="00000000">
      <w:pPr>
        <w:pStyle w:val="Textkrper"/>
      </w:pPr>
      <w:r>
        <w:t>→ lights light up above the hiding place Moore, R., Liebal, K., &amp; Tomasello, M. (2013). Three-year-olds understand communicative intentions without language, gestures, or gaze. Interaction Studies, 14(1), 62-80.</w:t>
      </w:r>
    </w:p>
    <w:p w14:paraId="4CE46D33" w14:textId="77777777" w:rsidR="00DA47B4" w:rsidRDefault="00000000">
      <w:pPr>
        <w:pStyle w:val="Textkrper"/>
      </w:pPr>
      <w:r>
        <w:t>iconic gesture Bohn, M., Call, J., &amp; Tomasello, M. (2016). Comprehension of iconic gestures by chimpanzees and human children. Journal of experimental child psychology, 142, 1-17.</w:t>
      </w:r>
    </w:p>
    <w:p w14:paraId="723E2214" w14:textId="77777777" w:rsidR="00DA47B4" w:rsidRDefault="00000000">
      <w:pPr>
        <w:pStyle w:val="Textkrper"/>
      </w:pPr>
      <w:r>
        <w:t>Bohn, M., Kachel, G., &amp; Tomasello, M. (2019). Young children spontaneously recreate core properties of language in a new modality. Proceedings of the National Academy of Sciences, 116(51), 26072-26077.</w:t>
      </w:r>
    </w:p>
    <w:p w14:paraId="54AE5053" w14:textId="77777777" w:rsidR="00DA47B4" w:rsidRDefault="00000000">
      <w:pPr>
        <w:pStyle w:val="Textkrper"/>
      </w:pPr>
      <w:r>
        <w:t>→ drawings and replica Callaghan, T. C. (2000). Factors affecting children’s graphic symbol use in the third year: Language, similarity, and iconicity. Cognitive Development, 15(2), 185-214.</w:t>
      </w:r>
    </w:p>
    <w:p w14:paraId="3E4C721E" w14:textId="77777777" w:rsidR="00DA47B4" w:rsidRDefault="00000000">
      <w:pPr>
        <w:pStyle w:val="Textkrper"/>
      </w:pPr>
      <w:r>
        <w:lastRenderedPageBreak/>
        <w:t>→ pointing, marker, replica Tomasello, M., Call, J., &amp; Gluckman, A. (1997). Comprehension of novel communicative signs by apes and human children. Child development, 68(6), 1067-1080.</w:t>
      </w:r>
    </w:p>
    <w:p w14:paraId="15C2CD4E" w14:textId="77777777" w:rsidR="00DA47B4" w:rsidRDefault="00000000">
      <w:pPr>
        <w:pStyle w:val="Textkrper"/>
      </w:pPr>
      <w:r>
        <w:t>→ lights light up above the hiding place Moore, R., Liebal, K., &amp; Tomasello, M. (2013). Three-year-olds understand communicative intentions without language, gestures, or gaze. Interaction Studies, 14(1), 62-80.</w:t>
      </w:r>
    </w:p>
    <w:p w14:paraId="6D4AEC18" w14:textId="77777777" w:rsidR="00DA47B4" w:rsidRDefault="00000000">
      <w:pPr>
        <w:pStyle w:val="Textkrper"/>
      </w:pPr>
      <w:r>
        <w:t>iconic gesture Bohn, M., Call, J., &amp; Tomasello, M. (2016). Comprehension of iconic gestures by chimpanzees and human children. Journal of experimental child psychology, 142, 1-17.</w:t>
      </w:r>
    </w:p>
    <w:p w14:paraId="6E504ED9" w14:textId="77777777" w:rsidR="00DA47B4" w:rsidRDefault="00000000">
      <w:pPr>
        <w:pStyle w:val="Textkrper"/>
      </w:pPr>
      <w:r>
        <w:t>Bohn, M., Kachel, G., &amp; Tomasello, M. (2019). Young children spontaneously recreate core properties of language in a new modality. Proceedings of the National Academy of Sciences, 116(51), 26072-26077.</w:t>
      </w:r>
    </w:p>
    <w:p w14:paraId="19EDDE09" w14:textId="77777777" w:rsidR="00DA47B4" w:rsidRDefault="00000000">
      <w:pPr>
        <w:pStyle w:val="Textkrper"/>
      </w:pPr>
      <w:r>
        <w:t>In the standard analysis of this setup, children need to</w:t>
      </w:r>
    </w:p>
    <w:p w14:paraId="556BB4D8" w14:textId="77777777" w:rsidR="00DA47B4" w:rsidRDefault="00000000">
      <w:pPr>
        <w:pStyle w:val="Textkrper"/>
      </w:pPr>
      <w:r>
        <w:t>from the beginning (treating objects as symbols) Callaghan requires EF suppressing the object representation</w:t>
      </w:r>
    </w:p>
    <w:p w14:paraId="20059771" w14:textId="77777777" w:rsidR="00DA47B4" w:rsidRDefault="00000000">
      <w:pPr>
        <w:pStyle w:val="Textkrper"/>
      </w:pPr>
      <w:r>
        <w:t>In the discussion we outline specifically how EF skills may help with the demands of our task working memory: exploring perspectives inhibition: stay on task even when demanding suppression of irrelevant information: ignoring shape as it not relevant in most task cognitive flexibility: being able to switch modes of interpretation across conditions</w:t>
      </w:r>
    </w:p>
    <w:p w14:paraId="118F7CC8" w14:textId="77777777" w:rsidR="00DA47B4" w:rsidRDefault="00000000">
      <w:pPr>
        <w:pStyle w:val="Textkrper"/>
      </w:pPr>
      <w:r>
        <w:t>Panesi, S., &amp; Morra, S. (2021). Executive function, language, and the toddler’s discovery of representational drawing. Frontiers in Psychology, 12, 659569.</w:t>
      </w:r>
    </w:p>
    <w:p w14:paraId="48B2B702" w14:textId="77777777" w:rsidR="00DA47B4" w:rsidRDefault="00000000">
      <w:pPr>
        <w:pStyle w:val="Textkrper"/>
      </w:pPr>
      <w:r>
        <w:lastRenderedPageBreak/>
        <w:t>Spencer, M., &amp; Cutting, L. E. (2021). Relations among executive function, decoding, and reading comprehension: An investigation of sex differences. Discourse Processes, 58(1), 42-59.</w:t>
      </w:r>
    </w:p>
    <w:p w14:paraId="0B23A3F8" w14:textId="77777777" w:rsidR="00DA47B4" w:rsidRDefault="00000000">
      <w:pPr>
        <w:pStyle w:val="Textkrper"/>
      </w:pPr>
      <w:r>
        <w:t>Cartwright K. B. (2015). Executive function and reading comprehension: The critical role of cognitive flexibility. In Parris SR. &amp; Headley K. (Eds.), Comprehension instruction: Research-based best practices (3rd ed., pp. 56–71).</w:t>
      </w:r>
    </w:p>
    <w:p w14:paraId="71560535" w14:textId="77777777" w:rsidR="00DA47B4" w:rsidRDefault="00000000">
      <w:pPr>
        <w:pStyle w:val="Textkrper"/>
      </w:pPr>
      <w:r>
        <w:t>Cartwright, K. B. (2007). The contribution of graphophonological-semantic flexibility to reading comprehension in college students: Implications for a less simple view of reading. Journal of Literacy Research, 39(2), 173-193.</w:t>
      </w:r>
    </w:p>
    <w:p w14:paraId="0C12B13A" w14:textId="77777777" w:rsidR="00DA47B4" w:rsidRDefault="00000000">
      <w:pPr>
        <w:pStyle w:val="Textkrper"/>
      </w:pPr>
      <w:r>
        <w:t>→ child sees a graphic of a “Red Cross.” Cognitive flexibility is what allows them to shift from seeing it as “plus sign” or “two lines” to “a place for help/medical care” based on the environment.</w:t>
      </w:r>
    </w:p>
    <w:p w14:paraId="4425B1FF" w14:textId="77777777" w:rsidR="00DA47B4" w:rsidRDefault="00000000">
      <w:pPr>
        <w:pStyle w:val="Textkrper"/>
      </w:pPr>
      <w:r>
        <w:t xml:space="preserve">Diamond, A. (2013). Executive functions. Annual Review of Psychology, 64, 135–168. </w:t>
      </w:r>
      <w:hyperlink r:id="rId8">
        <w:r>
          <w:rPr>
            <w:rStyle w:val="Hyperlink"/>
          </w:rPr>
          <w:t>https://doi.org/10.1146/annurev-psych-113011-143750</w:t>
        </w:r>
      </w:hyperlink>
    </w:p>
    <w:p w14:paraId="752A58C1" w14:textId="77777777" w:rsidR="00DA47B4" w:rsidRDefault="00000000">
      <w:pPr>
        <w:pStyle w:val="Textkrper"/>
      </w:pPr>
      <w:r>
        <w:t>Diamond (2013) → without top-down regulation visual system is overwhelmed in MTS while a 3-year-old can understand a rule (e.g., “match these graphics by color”), they cannot easily inhibit that rule when a new one is introduced</w:t>
      </w:r>
    </w:p>
    <w:p w14:paraId="749BCB23" w14:textId="77777777" w:rsidR="00DA47B4" w:rsidRDefault="00000000">
      <w:pPr>
        <w:pStyle w:val="Textkrper"/>
      </w:pPr>
      <w:r>
        <w:t xml:space="preserve">Zelazo, P. D., Müller, U., Frye, D., &amp; Marcovitch, S. (2003). The development of executive function in early childhood. Monographs of the Society for Research in Child Development, 68(3, Serial No. 274), i–151. </w:t>
      </w:r>
      <w:hyperlink r:id="rId9">
        <w:r>
          <w:rPr>
            <w:rStyle w:val="Hyperlink"/>
          </w:rPr>
          <w:t>https://doi.org/10.1111/j.0037-976X.2003.00261.x</w:t>
        </w:r>
      </w:hyperlink>
    </w:p>
    <w:p w14:paraId="17CCF4A1" w14:textId="77777777" w:rsidR="00DA47B4" w:rsidRDefault="00000000">
      <w:pPr>
        <w:pStyle w:val="Textkrper"/>
      </w:pPr>
      <w:r>
        <w:t>→ MTS success depends on reflection. A child must reflect on the graphic sample to extract its features;</w:t>
      </w:r>
    </w:p>
    <w:p w14:paraId="2CD18228" w14:textId="77777777" w:rsidR="00DA47B4" w:rsidRDefault="00000000">
      <w:pPr>
        <w:pStyle w:val="Textkrper"/>
      </w:pPr>
      <w:r>
        <w:lastRenderedPageBreak/>
        <w:t>Long, B., Moher, M., Carey, S., &amp; Konkle, T. (2019). Real-world size is automatically encoded in preschoolers’ object representations. Journal of Experimental Psychology: Human Perception and Performance, 45(7), 863.</w:t>
      </w:r>
    </w:p>
    <w:p w14:paraId="7C7AFED0" w14:textId="77777777" w:rsidR="00DA47B4" w:rsidRDefault="00000000">
      <w:pPr>
        <w:pStyle w:val="Textkrper"/>
      </w:pPr>
      <w:r>
        <w:t>Callaghan, T. C. (1990). Texture segregation in young children. In Advances in psychology (Vol. 69, pp. 175-195). North-Holland.</w:t>
      </w:r>
    </w:p>
    <w:p w14:paraId="158E59F1" w14:textId="77777777" w:rsidR="00DA47B4" w:rsidRDefault="00000000">
      <w:pPr>
        <w:pStyle w:val="Textkrper"/>
      </w:pPr>
      <w:r>
        <w:t>Shepp, B. E., Barrett, S. E., &amp; Kolbet, L. L. (1987). The development of selective attention: Holistic perception versus resource allocation. Journal of Experimental Child Psychology, 43(2), 159-180.</w:t>
      </w:r>
    </w:p>
    <w:p w14:paraId="111D2714" w14:textId="77777777" w:rsidR="00DA47B4" w:rsidRDefault="00000000">
      <w:pPr>
        <w:pStyle w:val="Textkrper"/>
      </w:pPr>
      <w:r>
        <w:t xml:space="preserve">Diamond, A., Carlson, S. M., &amp; Beck, D. M. (2005). Preschool children’s performance in task switching on the dimensional change card sort task: Separating the dimensions aids the ability to switch. Developmental Neuropsychology, 28(2), 689–729. </w:t>
      </w:r>
      <w:hyperlink r:id="rId10">
        <w:r>
          <w:rPr>
            <w:rStyle w:val="Hyperlink"/>
          </w:rPr>
          <w:t>https://doi.org/10.1207/s15326942dn2802_7</w:t>
        </w:r>
      </w:hyperlink>
    </w:p>
    <w:p w14:paraId="2670EA68" w14:textId="77777777" w:rsidR="00DA47B4" w:rsidRDefault="00000000">
      <w:pPr>
        <w:pStyle w:val="Textkrper"/>
      </w:pPr>
      <w:r>
        <w:t xml:space="preserve">p. 36 – There is some early work on children’s production of pictorial symbols showing that children use a wholistic approach and attend to features that will distinguish the referent only later, or if given a prompt that their drawing is difficult to interpret </w:t>
      </w:r>
      <w:hyperlink r:id="rId11">
        <w:r>
          <w:rPr>
            <w:rStyle w:val="Hyperlink"/>
          </w:rPr>
          <w:t>https://doi.org/10.1111/1467-8624.00096</w:t>
        </w:r>
      </w:hyperlink>
      <w:r>
        <w:t xml:space="preserve"> The publication by Callaghan (1999) is highly relevant and we are already citing it in the introduction and discussion.</w:t>
      </w:r>
    </w:p>
    <w:p w14:paraId="54DD5DD7" w14:textId="77777777" w:rsidR="00DA47B4" w:rsidRDefault="00000000">
      <w:pPr>
        <w:pStyle w:val="Textkrper"/>
      </w:pPr>
      <w:r>
        <w:t>Communicative cues may be: → drawings and replica Callaghan, T. C. (2000). Factors affecting children’s graphic symbol use in the third year: Language, similarity, and iconicity. Cognitive Development, 15(2), 185-214.</w:t>
      </w:r>
    </w:p>
    <w:p w14:paraId="4B65D493" w14:textId="77777777" w:rsidR="00DA47B4" w:rsidRDefault="00000000">
      <w:pPr>
        <w:pStyle w:val="Textkrper"/>
      </w:pPr>
      <w:r>
        <w:lastRenderedPageBreak/>
        <w:t>→ pointing, marker, replica Tomasello, M., Call, J., &amp; Gluckman, A. (1997). Comprehension of novel communicative signs by apes and human children. Child development, 68(6), 1067-1080.</w:t>
      </w:r>
    </w:p>
    <w:p w14:paraId="1C98F295" w14:textId="77777777" w:rsidR="00DA47B4" w:rsidRDefault="00000000">
      <w:pPr>
        <w:pStyle w:val="Textkrper"/>
      </w:pPr>
      <w:r>
        <w:t>→ lights light up above the hiding place Moore, R., Liebal, K., &amp; Tomasello, M. (2013). Three-year-olds understand communicative intentions without language, gestures, or gaze. Interaction Studies, 14(1), 62-80.</w:t>
      </w:r>
    </w:p>
    <w:p w14:paraId="329EF62D" w14:textId="77777777" w:rsidR="00DA47B4" w:rsidRDefault="00000000">
      <w:pPr>
        <w:pStyle w:val="Textkrper"/>
      </w:pPr>
      <w:r>
        <w:t>Bohn, M., Kachel, G., &amp; Tomasello, M. (2019). Young children spontaneously recreate core properties of language in a new modality. Proceedings of the National Academy of Sciences, 116(51), 26072-26077.</w:t>
      </w:r>
    </w:p>
    <w:p w14:paraId="1756F118" w14:textId="77777777" w:rsidR="00DA47B4" w:rsidRDefault="00000000">
      <w:pPr>
        <w:pStyle w:val="Textkrper"/>
      </w:pPr>
      <w:r>
        <w:t>Tolar, T. D., Lederberg, A. R., Gokhale, S., &amp; Tomasello, M. (2008). The development of the ability to recognize the meaning of iconic signs. Journal of Deaf Studies and Deaf Education, 13(2), 225-240.</w:t>
      </w:r>
    </w:p>
    <w:p w14:paraId="7D6BE9E6" w14:textId="77777777" w:rsidR="00DA47B4" w:rsidRDefault="00000000">
      <w:pPr>
        <w:pStyle w:val="Textkrper"/>
      </w:pPr>
      <w:r>
        <w:t>Bohn, M., Call, J., &amp; Tomasello, M. (2016). Comprehension of iconic gestures by chimpanzees and human children. Journal of experimental child psychology, 142, 1-17.</w:t>
      </w:r>
    </w:p>
    <w:p w14:paraId="2FF927FF" w14:textId="77777777" w:rsidR="00DA47B4" w:rsidRDefault="00000000">
      <w:pPr>
        <w:pStyle w:val="Textkrper"/>
      </w:pPr>
      <w:r>
        <w:t>xxxxxxxxxxxxxxxxxx</w:t>
      </w:r>
    </w:p>
    <w:p w14:paraId="04803CD4" w14:textId="77777777" w:rsidR="00DA47B4" w:rsidRDefault="00000000">
      <w:pPr>
        <w:pStyle w:val="Textkrper"/>
      </w:pPr>
      <w:r>
        <w:t xml:space="preserve">Direct investigations into children’s ability to use symbol-referent relationships other than similarity or iconicity in the graphic domain are rare. Given that graphical representations are static in time and limited to 2D-space, the conceptual dimensions along which information can be encoded is finite. Apart from representations capturing the actual shape of what they are depicting, discussions of graphic communication generally identify primitives or “visual variables” as fundamental elements for encoding information. These variables are position, size, </w:t>
      </w:r>
      <w:r>
        <w:lastRenderedPageBreak/>
        <w:t xml:space="preserve">number, orientation, relational and gestalt-principles, as well as continuous visual properties such as brightness, color (hue) or texture (Cleveland &amp; McGill, 1984; Stevenson, Alberto, Boom, &amp; Boeck, 2014). The former group takes precedence in conceptual implementation due to their discreteness. After all, a conventional sign or representative drawing can evoke the same concept regardless of the color or brightness it is implemented with. On the perceptual level, object, color, quantity, size are easier to process than relational properties or figural analogies such as orientation and position (Donnelly et al., 2007; Stevenson et al., 2014). </w:t>
      </w:r>
      <w:r>
        <w:rPr>
          <w:i/>
          <w:iCs/>
        </w:rPr>
        <w:t>BUT WHY why why are the perceptual dimensions of color, quantity, size etc easier to process than relational properties or orientation, position? Is this a perceptual mechanism at work? Or attentional? Is this mechanism operating at this age range?</w:t>
      </w:r>
    </w:p>
    <w:p w14:paraId="46AA46AA" w14:textId="77777777" w:rsidR="00DA47B4" w:rsidRDefault="00000000">
      <w:pPr>
        <w:pStyle w:val="Textkrper"/>
      </w:pPr>
      <w:r>
        <w:t>Similar successions have been documented throughout the preschool years. Children are first able to understand iconic signs or depictions around the third birthday, whereas more conceptual or analogical dimensions are appreciated only at four to five years of age (Callaghan, 2000). Defining the precise ages and relative developmental trajectories for children’s sensitivity to using these graphic primitives as conveying meaning and disambiguating reference provides crucial insights into children’s developing symbolic competence.</w:t>
      </w:r>
    </w:p>
    <w:p w14:paraId="0D65C3B3" w14:textId="77777777" w:rsidR="00DA47B4" w:rsidRDefault="00000000">
      <w:pPr>
        <w:pStyle w:val="Textkrper"/>
      </w:pPr>
      <w:r>
        <w:t>PARS PRO TOTO</w:t>
      </w:r>
    </w:p>
    <w:p w14:paraId="141158A3" w14:textId="77777777" w:rsidR="00DA47B4" w:rsidRDefault="00000000">
      <w:pPr>
        <w:pStyle w:val="Textkrper"/>
      </w:pPr>
      <w:r>
        <w:t xml:space="preserve">Omissions in depiction are an important aspect of developing conventions and streamlining communication (Goldin-Meadow &amp; Feldman, 1977) as well as they are an interesting minimal step towards abstraction as they are still basically iconic, yet only showing a part or aspect of the target. At least for basic geometrical shapes, we know that while the production and completion of shapes in drawing (Cox, 2005; Dağlı &amp; Halat, 2016) develops throughout the preschool years, shape recognition and naming are robust in the third and fourth </w:t>
      </w:r>
      <w:r>
        <w:lastRenderedPageBreak/>
        <w:t>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making part-whole relationships on the level of geometric figures an ideal target for an investigation into slightly abstract symbol-reference relationships that young children may be able to read at the beginning of the preschool years.</w:t>
      </w:r>
    </w:p>
    <w:p w14:paraId="788217F0" w14:textId="77777777" w:rsidR="00DA47B4" w:rsidRDefault="00000000">
      <w:pPr>
        <w:pStyle w:val="Textkrper"/>
      </w:pPr>
      <w:r>
        <w:t>FORM ANALOGY</w:t>
      </w:r>
    </w:p>
    <w:p w14:paraId="31DD5144" w14:textId="77777777" w:rsidR="00DA47B4" w:rsidRDefault="00000000">
      <w:pPr>
        <w:pStyle w:val="Textkrper"/>
      </w:pPr>
      <w:r>
        <w:t xml:space="preserve">A highly abstract means of reference that is still rooted in iconicity may be the metaphorical use of form or shape, for example, by referring to something pointy, sharp or spiky with an edgy or more clear cut rectangular drawing (Knoeferle, Li, Maggioni, &amp; Spence, 2017). Again, this is common in language and became a focus of research studying sound symbolism in the lexicon (Bermúdez, 2020; Sidhu, 2025), as well as actions and gesture (Bohn, Call, &amp; Tomasello, 2019; Margiotoudi &amp; Pulvermüller, 2020). The phenomenon is robust across cultures (Ćwiek et al., 2022) and children appear sensitive to sound symbolism matching words and shapes by about 30 months of age (Fort et al., 2018; Imai, Kita, Nagumo, &amp; Okada, 2008; Maurer, Pathman, &amp; Mondloch, 2006) and for matching actions with gestures or vocalizations at 36 months (Bohn, Call, et al., 2019). </w:t>
      </w:r>
      <w:r>
        <w:rPr>
          <w:b/>
          <w:bCs/>
        </w:rPr>
        <w:t>There is currently no data on whether children are sensitive to an agreement in the overall properties of a shape or the impression that its form conveys for grounding reference.</w:t>
      </w:r>
    </w:p>
    <w:p w14:paraId="128379F1" w14:textId="77777777" w:rsidR="00DA47B4" w:rsidRDefault="00000000">
      <w:pPr>
        <w:pStyle w:val="Textkrper"/>
      </w:pPr>
      <w:r>
        <w:t>GESTALT</w:t>
      </w:r>
    </w:p>
    <w:p w14:paraId="58E9DD07" w14:textId="77777777" w:rsidR="00DA47B4" w:rsidRDefault="00000000">
      <w:pPr>
        <w:pStyle w:val="Textkrper"/>
      </w:pPr>
      <w:r>
        <w:lastRenderedPageBreak/>
        <w:t>As with the other dimensions reported above, there is evidence that children are sensitive to Gestalt principles like closure and spatial dimensions of composition position, orientation and alignment in graphic displays but there is virtually no data on how likely children are to perceive such aspects of graphical stimuli to convey meaning. Closure appears to be a basic principle for graphic production, as children rarely draw overlapping figures (Cox, 2005; Piaget, Inhelder, &amp; Bovet, 1997). Relative position is intuitively used by children even in their earliest figural drawings when arranging items in scenes, such as children next to an ice-cream van, but also when achieving “intellectual realism” in depicting complex objects (Luquet &amp; Costall, 2001). That is, while children’s drawings may not look realistic per se, they are true to the invariant organisation of a depicted item via the relative position of the defining elements: when drawing a car, the wheels will be added at the bottom rather than on top (Cox, 2005). In both cases, relative position and orientation on the level of the individual object or scene may be discussed as iconic. A more abstract or conceptual use of relative position for conveying information is present in children’s developing ability to read maps. An intuitive understanding of basic maps allowing children to extract relational directions such as “behind me” or “in front of me” is accessible by four years of age and even so in the absence of training (Landau, 1986) but iconicity is again very important for grasping the conceptual space depicted in maps (Liben &amp; Downs, 2013). Likewise, 4-year-olds can use geometric information from maps to navigate real space (Shusterman, Ah Lee, &amp; Spelke, 2008), but the more demanding transfer from maps to real-world settings with larger spatial arrays is unstable prior to six to seven years of age (Blades &amp; Spencer, 1994; Uttal &amp; Wellman, 1989).</w:t>
      </w:r>
    </w:p>
    <w:p w14:paraId="1ED14484" w14:textId="77777777" w:rsidR="00DA47B4" w:rsidRDefault="00000000">
      <w:pPr>
        <w:pStyle w:val="Textkrper"/>
      </w:pPr>
      <w:r>
        <w:t>SIZE</w:t>
      </w:r>
    </w:p>
    <w:p w14:paraId="5D3E2FCD" w14:textId="77777777" w:rsidR="00DA47B4" w:rsidRDefault="00000000">
      <w:pPr>
        <w:pStyle w:val="Textkrper"/>
      </w:pPr>
      <w:r>
        <w:lastRenderedPageBreak/>
        <w:t>Size is a relative property of graphical content and requires a comparison between items, for example when drawing a big and small dog, or an appreciation of an item’s relation to the frame of reference it occurs in, as when a child may try to convey the concept of a big dog by making it occupy the entire piece of paper it is drawing on (Cox, 2005). Children are able to make spontaneous or productive size comparisons at three years of age and begin to use size words (</w:t>
      </w:r>
      <w:r>
        <w:rPr>
          <w:i/>
          <w:iCs/>
        </w:rPr>
        <w:t>big</w:t>
      </w:r>
      <w:r>
        <w:t>), size superlatives (</w:t>
      </w:r>
      <w:r>
        <w:rPr>
          <w:i/>
          <w:iCs/>
        </w:rPr>
        <w:t>biggest</w:t>
      </w:r>
      <w:r>
        <w:t xml:space="preserve">), or quantifiers (more, most) (Ferry et al., 2025), yet young children are most accurate with </w:t>
      </w:r>
      <w:r>
        <w:rPr>
          <w:i/>
          <w:iCs/>
        </w:rPr>
        <w:t>bigger</w:t>
      </w:r>
      <w:r>
        <w:t xml:space="preserve"> and only gradually gain competence with words like smaller, shorter or longer (Frausel et al., 2020). When presented with an array of graphic stimuli, preschoolers can reliably point at, for example, the smallest or largest item in a set (Haun &amp; Tomasello, 2011). While three- and four-year-olds can identify larger or smaller graphic items, the canonical size of the depicted objects can interfere leading to stroop-like errors (Long, Moher, Carey, &amp; Konkle, 2019). When presented with three different geometric shapes in matching or non-matching dimensions (e.g. large, large, small) in match-to-sample tasks, children are quite unlikely to spontaneously infer size as the basis for matching even around the fourth birthday (Kroupin &amp; Carey, 2022b). 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w:t>
      </w:r>
    </w:p>
    <w:p w14:paraId="35BCBFFD" w14:textId="77777777" w:rsidR="00DA47B4" w:rsidRDefault="00000000">
      <w:pPr>
        <w:pStyle w:val="Textkrper"/>
      </w:pPr>
      <w:r>
        <w:t>NUMBER</w:t>
      </w:r>
    </w:p>
    <w:p w14:paraId="251E11B2" w14:textId="77777777" w:rsidR="00DA47B4" w:rsidRDefault="00000000">
      <w:pPr>
        <w:pStyle w:val="Textkrper"/>
      </w:pPr>
      <w:r>
        <w:t xml:space="preserve">Number, is another relational concept, and an absolute primitive in graphic communication (Cooperrider &amp; Gentner, 2019; Ifrah, 2000) likely to be the conceptual space that the very first historic systems of writing were trying to capture. Judgments of quantity have been </w:t>
      </w:r>
      <w:r>
        <w:lastRenderedPageBreak/>
        <w:t>studied extensively in developmental psychology and identified both implicit and explicit number systems (Carey &amp; Barner, 2019). Infants already have an implicit proximate grasp of differences in number (Starr, Libertus, &amp; Brannon, 2013) with one versus three being one of the most early comparisons possible, which is also frequently used as the most simple tasks in comparative work (Carey, 2000; Eckert, Bohn, &amp; Spaethe, 2022; Xu &amp; Arriaga, 2007). Preschoolers growing up in industrialized environments are constantly surrounded by math tasks in the form of various games (Daucourt, Napoli, Quinn, Wood, &amp; Hart, 2021) as well as preschool curricula incentivizing a playful engagement with quantities, number symbols and shapes (Kucharz, 2012; Schmidt, Sauerbrey, &amp; Smidt, 2021). By four years of age, children have a basic grasp of the cardinal principle, that is basic understanding of the relation of number words and fixed quantities (Carey &amp; Barner, 2019; Silver &amp; Libertus, 2022) and they are able to use that knowledge in practical everyday contexts, for example when comparing comparing numbers with magnitudes smaller than five (Wynn, 1990). In match-to-sample tasks, children spontaneously infer number as a basis of comparison between four and five years of age (Kroupin &amp; Carey, 2022b).</w:t>
      </w:r>
    </w:p>
    <w:p w14:paraId="0D99A9C4" w14:textId="77777777" w:rsidR="00DA47B4" w:rsidRDefault="00000000">
      <w:pPr>
        <w:pStyle w:val="Textkrper"/>
      </w:pPr>
      <w:r>
        <w:t>From this review of children’s ability to appreciate various basic dimensions of graphic depictions and their sensitivity to these as means for conveying information, we can identify a couple of research desiderata. Most striking is the literature’s focus on similarity and iconicity (Callaghan &amp; Corbit, 2015). Mappings between symbol and referent can take place along a number of conceptual dimensions and few studies explicitly address these. Against this background, a systematic and comprehensive investigation of the conceptual dimensions along which graphic symbols can be imbued with meaning, will help to evaluate the extent to which children’s competence is specific to certain types of symbol-referent-relationships or generalizes across mappings based on analogy in form, size, number, or Gestalt principles.</w:t>
      </w:r>
    </w:p>
    <w:p w14:paraId="5B127E59" w14:textId="77777777" w:rsidR="00DA47B4" w:rsidRDefault="00000000">
      <w:pPr>
        <w:pStyle w:val="Textkrper"/>
      </w:pPr>
      <w:r>
        <w:lastRenderedPageBreak/>
        <w:t>The strong focus on iconicity often goes together with graphic stimuli depicting actual real world objects. Here familiarity with the depicted object, its canonical features and even conventional ways of drawing them may interfere with the aim of investigating cognitive capacities rather than knowledge of culturally imbued graphic conventions, script or icons. undefined</w:t>
      </w:r>
    </w:p>
    <w:p w14:paraId="6F85F45F" w14:textId="77777777" w:rsidR="00DA47B4" w:rsidRDefault="00000000">
      <w:pPr>
        <w:pStyle w:val="Textkrper"/>
      </w:pPr>
      <w:r>
        <w:t>By contrast, the studies below investigate young children’s spontaneous comprehension of unfamiliar graphic symbols that gain meaning from being produced in a specific and highly restricted context where symbol and referent align in certain conceptual dimensions with decreasing iconicity. Therefore, they focus on children’s pragmatic competencies and their ability to identify shared features across graphic displays used as cue and target. To the extent that children are highly unlikely to have encountered the specific graphic cues used here, our findings showcase their ability to grasp and acquire novel symbol-referent pairings. This may limit the influence of children’s knowledge of conventional symbols on performance and make results more robust and informative for research about the acquisition or emergence of communicative systems despite spanning an age-range where children become competent users of script, numerals or drawings.</w:t>
      </w:r>
    </w:p>
    <w:p w14:paraId="00FCCAC4" w14:textId="77777777" w:rsidR="00DA47B4" w:rsidRDefault="00000000">
      <w:pPr>
        <w:pStyle w:val="berschrift1"/>
      </w:pPr>
      <w:bookmarkStart w:id="2" w:name="general-methods"/>
      <w:bookmarkEnd w:id="1"/>
      <w:r>
        <w:t>General Methods</w:t>
      </w:r>
    </w:p>
    <w:p w14:paraId="7CFB6431" w14:textId="77777777" w:rsidR="00DA47B4" w:rsidRDefault="00000000">
      <w:pPr>
        <w:pStyle w:val="FirstParagrap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12">
        <w:r>
          <w:rPr>
            <w:rStyle w:val="Hyperlink"/>
          </w:rPr>
          <w:t>Study 1</w:t>
        </w:r>
      </w:hyperlink>
      <w:r>
        <w:t xml:space="preserve">: </w:t>
      </w:r>
      <w:hyperlink r:id="rId13">
        <w:r>
          <w:rPr>
            <w:rStyle w:val="Hyperlink"/>
          </w:rPr>
          <w:t>https://aspredicted.org/SJT_H7F</w:t>
        </w:r>
      </w:hyperlink>
      <w:r>
        <w:t xml:space="preserve">, </w:t>
      </w:r>
      <w:hyperlink r:id="rId14">
        <w:r>
          <w:rPr>
            <w:rStyle w:val="Hyperlink"/>
          </w:rPr>
          <w:t>Study 2</w:t>
        </w:r>
      </w:hyperlink>
      <w:r>
        <w:t xml:space="preserve">: </w:t>
      </w:r>
      <w:hyperlink r:id="rId15">
        <w:r>
          <w:rPr>
            <w:rStyle w:val="Hyperlink"/>
          </w:rPr>
          <w:t>https://aspredicted.org/L2H_XC7</w:t>
        </w:r>
      </w:hyperlink>
      <w:r>
        <w:t xml:space="preserve">, and </w:t>
      </w:r>
      <w:hyperlink r:id="rId16">
        <w:r>
          <w:rPr>
            <w:rStyle w:val="Hyperlink"/>
          </w:rPr>
          <w:t>Study 3</w:t>
        </w:r>
      </w:hyperlink>
      <w:r>
        <w:t xml:space="preserve">: </w:t>
      </w:r>
      <w:hyperlink r:id="rId17">
        <w:r>
          <w:rPr>
            <w:rStyle w:val="Hyperlink"/>
          </w:rPr>
          <w:t>https://aspredicted.org/DR4_B4B</w:t>
        </w:r>
      </w:hyperlink>
      <w:r>
        <w:t xml:space="preserve">). All stimuli, </w:t>
      </w:r>
      <w:r>
        <w:lastRenderedPageBreak/>
        <w:t xml:space="preserve">experiments, data and analyses are available at: </w:t>
      </w:r>
      <w:hyperlink r:id="rId18">
        <w:r>
          <w:rPr>
            <w:rStyle w:val="Hyperlink"/>
          </w:rPr>
          <w:t>https://github.com/GregorKachel/symlit_rep_manuscript</w:t>
        </w:r>
      </w:hyperlink>
      <w:r>
        <w:t>.</w:t>
      </w:r>
    </w:p>
    <w:p w14:paraId="533FA556" w14:textId="77777777" w:rsidR="00DA47B4" w:rsidRDefault="00000000">
      <w:pPr>
        <w:pStyle w:val="berschrift2"/>
      </w:pPr>
      <w:bookmarkStart w:id="3" w:name="data-collection-and-setup"/>
      <w:r>
        <w:t>Data Collection and Setup</w:t>
      </w:r>
    </w:p>
    <w:p w14:paraId="4BB6AB15" w14:textId="77777777" w:rsidR="00DA47B4" w:rsidRDefault="00000000">
      <w:pPr>
        <w:pStyle w:val="FirstParagraph"/>
      </w:pPr>
      <w:r>
        <w:t>In order to continuously trace the development of symbolic competences across the preschool years, for each study we aimed to test a minimum of two children per month of age between the third and the seventh birthday for a total of 96 participants balancing male and female participants. As children participated on the basis of availability and data were collected by several experimenter teams in parallel, the final samples slightly exceed this preregistered minimum sample size. The final sample approximates an equal distribution of male and female participants and aligns with conventions in the field in providing a minimum of 24 participants per study and year of age. 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39CE3279" w14:textId="77777777" w:rsidR="00DA47B4" w:rsidRDefault="00000000">
      <w:pPr>
        <w:pStyle w:val="berschrift2"/>
      </w:pPr>
      <w:bookmarkStart w:id="4" w:name="setup-and-procedure"/>
      <w:bookmarkEnd w:id="3"/>
      <w:r>
        <w:t>Setup and Procedure</w:t>
      </w:r>
    </w:p>
    <w:p w14:paraId="367330BD" w14:textId="77777777" w:rsidR="00DA47B4" w:rsidRDefault="00000000">
      <w:pPr>
        <w:pStyle w:val="FirstParagrap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7C2181E5" w14:textId="77777777" w:rsidR="00DA47B4" w:rsidRDefault="00000000">
      <w:pPr>
        <w:pStyle w:val="CaptionedFigure"/>
        <w:framePr w:wrap="notBeside"/>
      </w:pPr>
      <w:r>
        <w:rPr>
          <w:noProof/>
        </w:rPr>
        <w:lastRenderedPageBreak/>
        <w:drawing>
          <wp:inline distT="0" distB="0" distL="0" distR="0" wp14:anchorId="4D569E42" wp14:editId="0F023414">
            <wp:extent cx="5670550" cy="3752457"/>
            <wp:effectExtent l="0" t="0" r="0" b="0"/>
            <wp:docPr id="32"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33" name="Picture" descr="../illustrations/setup%20complete.png"/>
                    <pic:cNvPicPr>
                      <a:picLocks noChangeAspect="1" noChangeArrowheads="1"/>
                    </pic:cNvPicPr>
                  </pic:nvPicPr>
                  <pic:blipFill>
                    <a:blip r:embed="rId19"/>
                    <a:stretch>
                      <a:fillRect/>
                    </a:stretch>
                  </pic:blipFill>
                  <pic:spPr bwMode="auto">
                    <a:xfrm>
                      <a:off x="0" y="0"/>
                      <a:ext cx="5670550" cy="3752457"/>
                    </a:xfrm>
                    <a:prstGeom prst="rect">
                      <a:avLst/>
                    </a:prstGeom>
                    <a:noFill/>
                    <a:ln w="9525">
                      <a:noFill/>
                      <a:headEnd/>
                      <a:tailEnd/>
                    </a:ln>
                  </pic:spPr>
                </pic:pic>
              </a:graphicData>
            </a:graphic>
          </wp:inline>
        </w:drawing>
      </w:r>
    </w:p>
    <w:p w14:paraId="2C813A16" w14:textId="77777777" w:rsidR="00DA47B4" w:rsidRDefault="00000000">
      <w:pPr>
        <w:pStyle w:val="ImageCaption"/>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749E1643" w14:textId="77777777" w:rsidR="00DA47B4" w:rsidRDefault="00000000">
      <w:pPr>
        <w:pStyle w:val="Textkrper"/>
      </w:pPr>
      <w:r>
        <w:rPr>
          <w:i/>
          <w:iCs/>
        </w:rPr>
        <w:t>Familiarisation.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w:t>
      </w:r>
      <w:r>
        <w:lastRenderedPageBreak/>
        <w:t>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6FC8F1FC" w14:textId="77777777" w:rsidR="00DA47B4" w:rsidRDefault="00000000">
      <w:pPr>
        <w:pStyle w:val="Textkrper"/>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0AF85540" w14:textId="77777777" w:rsidR="00DA47B4" w:rsidRDefault="00000000">
      <w:pPr>
        <w:pStyle w:val="Textkrper"/>
      </w:pPr>
      <w:r>
        <w:t xml:space="preserve">A single trial lasted roughly 20 to 60 seconds, depending on how swiftly children chose. Each study presented four different experimental conditions with four trials each in a blocked order for a maximum of 16 test trials. Unique combinations of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w:t>
      </w:r>
      <w:r>
        <w:lastRenderedPageBreak/>
        <w:t>condition, see supplementary materials. In line with the preregistration, children had to complete a minimum of eight test trials to be included in analysis.</w:t>
      </w:r>
    </w:p>
    <w:p w14:paraId="73EB1FBC" w14:textId="77777777" w:rsidR="00DA47B4" w:rsidRDefault="00000000">
      <w:pPr>
        <w:pStyle w:val="berschrift2"/>
      </w:pPr>
      <w:bookmarkStart w:id="6" w:name="stimuli-and-counterbalancing"/>
      <w:bookmarkEnd w:id="4"/>
      <w:r>
        <w:t>Stimuli and Counterbalancing</w:t>
      </w:r>
    </w:p>
    <w:p w14:paraId="1E2D64F0" w14:textId="77777777" w:rsidR="00DA47B4" w:rsidRDefault="00000000">
      <w:pPr>
        <w:pStyle w:val="FirstParagraph"/>
      </w:pPr>
      <w:r>
        <w:t xml:space="preserve">The context in the studies presented below is provided by a game of hide and seek and the options are two hiding places that are distinct by means of the graphic displays they are marked with. The aim was to test at what age children become able to spontaneously match cue and target along various dimensions of symbol-referent relationships. For this, the graphic displays presented as choice options were designed to saliently differ in one relevant dimension and to be as similar as possible with regard to other features. The cue, on the other hand, was a reduced and less straight-lined graphic display akin to a hand drawing that had something in common with one of the choice options and was thereby referring to it. In test trials, one of the choice options serves as a target and the other as a distractor. For counterbalancing, a second cue was designed to refer to the other choice option, such that across participants the same choice options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cues (outline drawings of a square and circle). During test, participants are presented with four test trials per condition, each composed of the shapes of a single column. During testing, a child sees each trial combination only once and with only one of the two possible cues. Across children, the position (left/right) of the target, and the identity of </w:t>
      </w:r>
      <w:r>
        <w:lastRenderedPageBreak/>
        <w:t>the cue are counterbalanced. For the convenience of the reader, all stimuli employed across studies are presented with the results for each condition in figures 2, 3, and 4 respectively.</w:t>
      </w:r>
    </w:p>
    <w:p w14:paraId="4E86058E" w14:textId="77777777" w:rsidR="00DA47B4" w:rsidRDefault="00000000">
      <w:pPr>
        <w:pStyle w:val="berschrift2"/>
      </w:pPr>
      <w:bookmarkStart w:id="7" w:name="data-handling-and-analyses"/>
      <w:bookmarkEnd w:id="6"/>
      <w:r>
        <w:t>Data Handling and Analyses</w:t>
      </w:r>
    </w:p>
    <w:p w14:paraId="06900589" w14:textId="4BA3D6F5" w:rsidR="00DA47B4" w:rsidRDefault="00000000">
      <w:pPr>
        <w:pStyle w:val="FirstParagrap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w:t>
      </w:r>
      <w:r w:rsidR="004C5DF6">
        <w:t>mapping</w:t>
      </w:r>
      <w:r>
        <w:t xml:space="preserve"> linear predictors to a probability between 0 and 1 via a link function. Our analyses modeled children’s binary choices (correct vs. incorrect) using fixed effects for condition, age as well as their interaction as primary predictors. In addition, we included a 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In line with best-practice conventions, we evaluated the relevance of age and condition for children’s performance prior to interpreting coefficients. For this, the full model outlined above was compared with a reduced model lacking the interaction of age and condition. To asses the fit and relative explanatory power of either model, we used Widely Applicable Information Criterion (WAIC) scores and weights (McElreath, 2018) as well as the difference in Expected Log Predictive Density (ELPD) via the function </w:t>
      </w:r>
      <w:r>
        <w:rPr>
          <w:i/>
          <w:iCs/>
        </w:rPr>
        <w:t>loo_compare</w:t>
      </w:r>
      <w:r>
        <w:t xml:space="preserve"> (Sivula, Magnusson, Matamoros, </w:t>
      </w:r>
      <w:r>
        <w:lastRenderedPageBreak/>
        <w:t xml:space="preserve">&amp; Vehtari, 2020). Across all studies, the preregistered full model proved superior or equally predictive. Model estimates were inspected for the different predictors including their 95% Credible Interval (CrI). In each study, the condition hypothesized as the most simple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5E31104A" w14:textId="77777777" w:rsidR="00DA47B4" w:rsidRDefault="00000000">
      <w:pPr>
        <w:pStyle w:val="Textkrper"/>
      </w:pPr>
      <w:r>
        <w:t xml:space="preserve">In order to answer our main research question of when children systematically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w:t>
      </w:r>
      <w:r>
        <w:rPr>
          <w:b/>
          <w:bCs/>
        </w:rPr>
        <w:t>ref?</w:t>
      </w:r>
      <w:r>
        <w:t>)(fig:plot-study1), (</w:t>
      </w:r>
      <w:r>
        <w:rPr>
          <w:b/>
          <w:bCs/>
        </w:rPr>
        <w:t>ref?</w:t>
      </w:r>
      <w:r>
        <w:t>)(fig:plot-study3), (</w:t>
      </w:r>
      <w:r>
        <w:rPr>
          <w:b/>
          <w:bCs/>
        </w:rPr>
        <w:t>ref?</w:t>
      </w:r>
      <w:r>
        <w:t>)(fig:plot-study3)).</w:t>
      </w:r>
    </w:p>
    <w:p w14:paraId="1B4AD794" w14:textId="77777777" w:rsidR="00DA47B4" w:rsidRDefault="00000000">
      <w:pPr>
        <w:pStyle w:val="Textkrper"/>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outlined above. The supplements also provide conventional analyses binning participants according to their age </w:t>
      </w:r>
      <w:r>
        <w:lastRenderedPageBreak/>
        <w:t xml:space="preserve">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213D0370" w14:textId="77777777" w:rsidR="00DA47B4" w:rsidRDefault="00000000">
      <w:pPr>
        <w:pStyle w:val="berschrift1"/>
      </w:pPr>
      <w:bookmarkStart w:id="8" w:name="study-1"/>
      <w:bookmarkEnd w:id="2"/>
      <w:bookmarkEnd w:id="7"/>
      <w:r>
        <w:t>Study 1</w:t>
      </w:r>
    </w:p>
    <w:p w14:paraId="3CB99BC8" w14:textId="77777777" w:rsidR="00DA47B4" w:rsidRDefault="00000000">
      <w:pPr>
        <w:pStyle w:val="FirstParagrap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From this, three further conditions were derived that were also employing form or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379A150F" w14:textId="77777777" w:rsidR="00DA47B4" w:rsidRDefault="00000000">
      <w:pPr>
        <w:pStyle w:val="berschrift2"/>
      </w:pPr>
      <w:bookmarkStart w:id="9" w:name="stimuli"/>
      <w:r>
        <w:t>Stimuli</w:t>
      </w:r>
    </w:p>
    <w:p w14:paraId="2D26AC47" w14:textId="77777777" w:rsidR="00DA47B4" w:rsidRDefault="00000000">
      <w:pPr>
        <w:pStyle w:val="FirstParagraph"/>
      </w:pPr>
      <w:r>
        <w:t xml:space="preserve">To make the four conditions in study 1 as comparable as possible, they are all employing the same target stimuli (cf. figure 2, panels A and B). In addition the two cues within a trial can be seen as the round and square equivalents of each other. For the condition </w:t>
      </w:r>
      <w:r>
        <w:rPr>
          <w:i/>
          <w:iCs/>
        </w:rPr>
        <w:t>Representation,</w:t>
      </w:r>
      <w:r>
        <w:t xml:space="preserve"> the graphical cue is an outline drawing, of the target. The second condition, </w:t>
      </w:r>
      <w:r>
        <w:rPr>
          <w:i/>
          <w:iCs/>
        </w:rPr>
        <w:t>Pars Pro Toto,</w:t>
      </w:r>
      <w:r>
        <w:t xml:space="preserve"> refers to the targets by means of a part-whole relationship. This is still in principle representational but provides less information and may require children to complete the shapes according to gestalt principles. While this completion is easiest in the first two items of </w:t>
      </w:r>
      <w:r>
        <w:rPr>
          <w:i/>
          <w:iCs/>
        </w:rPr>
        <w:t>Pars pro Toto</w:t>
      </w:r>
      <w:r>
        <w:t xml:space="preserve"> due to the canonical shapes (square, circle) it is less obvious with the less canonical shapes albeit they are </w:t>
      </w:r>
      <w:r>
        <w:lastRenderedPageBreak/>
        <w:t xml:space="preserve">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figure 2 B.</w:t>
      </w:r>
    </w:p>
    <w:p w14:paraId="3FABF2BD" w14:textId="77777777" w:rsidR="00DA47B4" w:rsidRDefault="00000000">
      <w:pPr>
        <w:pStyle w:val="berschrift2"/>
      </w:pPr>
      <w:bookmarkStart w:id="10" w:name="participants-and-sample"/>
      <w:bookmarkEnd w:id="9"/>
      <w:r>
        <w:t>Participants and Sample</w:t>
      </w:r>
    </w:p>
    <w:p w14:paraId="428C196C" w14:textId="77777777" w:rsidR="00DA47B4" w:rsidRDefault="00000000">
      <w:pPr>
        <w:pStyle w:val="FirstParagrap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13B81922" w14:textId="77777777" w:rsidR="00DA47B4" w:rsidRDefault="00000000">
      <w:pPr>
        <w:pStyle w:val="berschrift2"/>
      </w:pPr>
      <w:bookmarkStart w:id="11" w:name="results"/>
      <w:bookmarkEnd w:id="10"/>
      <w:r>
        <w:lastRenderedPageBreak/>
        <w:t>Results</w:t>
      </w:r>
    </w:p>
    <w:p w14:paraId="18A8D91D" w14:textId="77777777" w:rsidR="00DA47B4" w:rsidRDefault="00000000">
      <w:pPr>
        <w:pStyle w:val="FirstParagrap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209DE403" w14:textId="77777777" w:rsidR="00DA47B4" w:rsidRDefault="00000000">
      <w:pPr>
        <w:pStyle w:val="Textkrper"/>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6440FC96" w14:textId="77777777" w:rsidR="00DA47B4" w:rsidRDefault="00000000">
      <w:pPr>
        <w:pStyle w:val="Textkrper"/>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w:t>
      </w:r>
      <w:r>
        <w:lastRenderedPageBreak/>
        <w:t>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the respective ages of success, see figure 2.</w:t>
      </w:r>
    </w:p>
    <w:p w14:paraId="2C26FADB" w14:textId="77777777" w:rsidR="00DA47B4" w:rsidRDefault="00000000">
      <w:pPr>
        <w:pStyle w:val="CaptionedFigure"/>
        <w:framePr w:wrap="notBeside"/>
      </w:pPr>
      <w:r>
        <w:rPr>
          <w:noProof/>
        </w:rPr>
        <w:drawing>
          <wp:inline distT="0" distB="0" distL="0" distR="0" wp14:anchorId="62949E88" wp14:editId="7A92BB3E">
            <wp:extent cx="5670550" cy="3498352"/>
            <wp:effectExtent l="0" t="0" r="0" b="0"/>
            <wp:docPr id="42"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3" name="Picture" descr="../illustrations/S1_complete.png"/>
                    <pic:cNvPicPr>
                      <a:picLocks noChangeAspect="1" noChangeArrowheads="1"/>
                    </pic:cNvPicPr>
                  </pic:nvPicPr>
                  <pic:blipFill>
                    <a:blip r:embed="rId20"/>
                    <a:stretch>
                      <a:fillRect/>
                    </a:stretch>
                  </pic:blipFill>
                  <pic:spPr bwMode="auto">
                    <a:xfrm>
                      <a:off x="0" y="0"/>
                      <a:ext cx="5670550" cy="3498352"/>
                    </a:xfrm>
                    <a:prstGeom prst="rect">
                      <a:avLst/>
                    </a:prstGeom>
                    <a:noFill/>
                    <a:ln w="9525">
                      <a:noFill/>
                      <a:headEnd/>
                      <a:tailEnd/>
                    </a:ln>
                  </pic:spPr>
                </pic:pic>
              </a:graphicData>
            </a:graphic>
          </wp:inline>
        </w:drawing>
      </w:r>
    </w:p>
    <w:p w14:paraId="6E7280C4" w14:textId="77777777" w:rsidR="00DA47B4" w:rsidRDefault="00000000">
      <w:pPr>
        <w:pStyle w:val="ImageCaption"/>
      </w:pPr>
      <w:bookmarkStart w:id="12" w:name="fig:plot-study1"/>
      <w:bookmarkEnd w:id="12"/>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39C2DDE8" w14:textId="77777777" w:rsidR="00DA47B4" w:rsidRDefault="00000000">
      <w:pPr>
        <w:pStyle w:val="berschrift2"/>
      </w:pPr>
      <w:bookmarkStart w:id="13" w:name="discussion"/>
      <w:bookmarkEnd w:id="11"/>
      <w:r>
        <w:lastRenderedPageBreak/>
        <w:t>Discussion</w:t>
      </w:r>
    </w:p>
    <w:p w14:paraId="03C7ED1E" w14:textId="77777777" w:rsidR="00DA47B4" w:rsidRDefault="00000000">
      <w:pPr>
        <w:pStyle w:val="FirstParagrap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In the context of all other conditions reported below, this result establishes that the task design and setup are sufficiently clear even for the youngest children in the sample and worked well across the wide age-range of four years from the end of toddlerhood up into school age. </w:t>
      </w:r>
      <w:r>
        <w:rPr>
          <w:i/>
          <w:iCs/>
        </w:rPr>
        <w:t>Representation</w:t>
      </w:r>
      <w:r>
        <w:t xml:space="preserve">, thus, provides a robust and clear conceptual canvass against which the developmental patterns of all other symbol-referent relationships can be discussed. Despite using identical targets as in </w:t>
      </w:r>
      <w:r>
        <w:rPr>
          <w:i/>
          <w:iCs/>
        </w:rPr>
        <w:t>Representation,</w:t>
      </w:r>
      <w:r>
        <w:t xml:space="preserve"> children succeed only at 38 months in </w:t>
      </w:r>
      <w:r>
        <w:rPr>
          <w:i/>
          <w:iCs/>
        </w:rPr>
        <w:t>Pars Pro Toto</w:t>
      </w:r>
      <w:r>
        <w:t xml:space="preserve">. The interaction with age shows that performance improves more quickly with age and that the area covered by the upper and lower CrI bounds shrinks considerably across the age range. </w:t>
      </w:r>
      <w:r>
        <w:rPr>
          <w:i/>
          <w:iCs/>
        </w:rPr>
        <w:t>Pars Pro Toto</w:t>
      </w:r>
      <w:r>
        <w:t xml:space="preserve">, hence, stands out as a clear example for a task that children come to master early and within the age-range tested here, that generally is not demanding for preschoolers in general. In the more abstract conditions </w:t>
      </w:r>
      <w:r>
        <w:rPr>
          <w:i/>
          <w:iCs/>
        </w:rPr>
        <w:t>Simple Form Analogy</w:t>
      </w:r>
      <w:r>
        <w:t xml:space="preserve"> and </w:t>
      </w:r>
      <w:r>
        <w:rPr>
          <w:i/>
          <w:iCs/>
        </w:rPr>
        <w:t>Complex Form Analogy</w:t>
      </w:r>
      <w:r>
        <w:t xml:space="preserve">, preschoolers meet criterion at 47 and 50 months respectively. Both appear equally difficult for participants and provide examples for symbol-referent relationships that remain demanding for the oldest children in the sample. While they are still based in iconicity, in so far as their interpretation involves a sense of resemblance with regard to their shape (Winter, Woodin, &amp; Perlman, 2026), they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w:t>
      </w:r>
      <w:r>
        <w:lastRenderedPageBreak/>
        <w:t xml:space="preserve">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27E05797" w14:textId="77777777" w:rsidR="00DA47B4" w:rsidRDefault="00000000">
      <w:pPr>
        <w:pStyle w:val="berschrift1"/>
      </w:pPr>
      <w:bookmarkStart w:id="14" w:name="study-2"/>
      <w:bookmarkEnd w:id="8"/>
      <w:bookmarkEnd w:id="13"/>
      <w:r>
        <w:t>Study 2</w:t>
      </w:r>
    </w:p>
    <w:p w14:paraId="648CFE77" w14:textId="77777777" w:rsidR="00DA47B4" w:rsidRDefault="00000000">
      <w:pPr>
        <w:pStyle w:val="FirstParagrap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the same position with regard to the reference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The preregistered hypothesis, assumed children to perform above chance first in </w:t>
      </w:r>
      <w:r>
        <w:rPr>
          <w:i/>
          <w:iCs/>
        </w:rPr>
        <w:t>Orientation of Object</w:t>
      </w:r>
      <w:r>
        <w:t xml:space="preserve">, then </w:t>
      </w:r>
      <w:r>
        <w:rPr>
          <w:i/>
          <w:iCs/>
        </w:rPr>
        <w:t>Orientation of Feature</w:t>
      </w:r>
      <w:r>
        <w:t xml:space="preserve">, </w:t>
      </w:r>
      <w:r>
        <w:rPr>
          <w:i/>
          <w:iCs/>
        </w:rPr>
        <w:t>Absolute Position</w:t>
      </w:r>
      <w:r>
        <w:t xml:space="preserve"> and finally </w:t>
      </w:r>
      <w:r>
        <w:rPr>
          <w:i/>
          <w:iCs/>
        </w:rPr>
        <w:t>Relative Position</w:t>
      </w:r>
      <w:r>
        <w:t>.</w:t>
      </w:r>
    </w:p>
    <w:p w14:paraId="100B076E" w14:textId="77777777" w:rsidR="00DA47B4" w:rsidRDefault="00000000">
      <w:pPr>
        <w:pStyle w:val="berschrift2"/>
      </w:pPr>
      <w:bookmarkStart w:id="15" w:name="stimuli-1"/>
      <w:r>
        <w:t>Stimuli</w:t>
      </w:r>
    </w:p>
    <w:p w14:paraId="1228C587" w14:textId="77777777" w:rsidR="00DA47B4" w:rsidRDefault="00000000">
      <w:pPr>
        <w:pStyle w:val="FirstParagrap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w:t>
      </w:r>
      <w:r>
        <w:lastRenderedPageBreak/>
        <w:t xml:space="preserve">allign on the same axis. As in study 1, cues and targets are either round and rectangular shapes in these conditions.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elipses and rectangles or abstract shapes with more or less round or square features. For </w:t>
      </w:r>
      <w:r>
        <w:rPr>
          <w:i/>
          <w:iCs/>
        </w:rPr>
        <w:t>Orientation of Feature</w:t>
      </w:r>
      <w:r>
        <w:t>, targets and cues are either circles or squares with a salient feature like an opening or a dent. For an overview of all stimuli used in Study 2, see figure 3.</w:t>
      </w:r>
    </w:p>
    <w:p w14:paraId="412E9938" w14:textId="77777777" w:rsidR="00DA47B4" w:rsidRDefault="00000000">
      <w:pPr>
        <w:pStyle w:val="berschrift2"/>
      </w:pPr>
      <w:bookmarkStart w:id="16" w:name="participants-and-sample-1"/>
      <w:bookmarkEnd w:id="15"/>
      <w:r>
        <w:t>Participants and Sample</w:t>
      </w:r>
    </w:p>
    <w:p w14:paraId="33B8D6A1" w14:textId="77777777" w:rsidR="00DA47B4" w:rsidRDefault="00000000">
      <w:pPr>
        <w:pStyle w:val="FirstParagraph"/>
      </w:pPr>
      <w:r>
        <w: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550EBDCC" w14:textId="77777777" w:rsidR="00DA47B4" w:rsidRDefault="00000000">
      <w:pPr>
        <w:pStyle w:val="berschrift2"/>
      </w:pPr>
      <w:bookmarkStart w:id="17" w:name="results-1"/>
      <w:bookmarkEnd w:id="16"/>
      <w:r>
        <w:t>Results</w:t>
      </w:r>
    </w:p>
    <w:p w14:paraId="319416BF" w14:textId="77777777" w:rsidR="00DA47B4" w:rsidRDefault="00000000">
      <w:pPr>
        <w:pStyle w:val="FirstParagrap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19397CD9" w14:textId="77777777" w:rsidR="00DA47B4" w:rsidRDefault="00000000">
      <w:pPr>
        <w:pStyle w:val="Textkrper"/>
      </w:pPr>
      <w:r>
        <w:t xml:space="preserve">To compare model performance, we evaluated the WAIC estimates. The null model showed a slightly better predictive performance (ELPD = -888.15) compared to the full model </w:t>
      </w:r>
      <w:r>
        <w:lastRenderedPageBreak/>
        <w:t>(ELPD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4D77540B" w14:textId="77777777" w:rsidR="00DA47B4" w:rsidRDefault="00000000">
      <w:pPr>
        <w:pStyle w:val="Textkrper"/>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the respective ages of group-level success, see figure 3.</w:t>
      </w:r>
    </w:p>
    <w:p w14:paraId="75E00136" w14:textId="77777777" w:rsidR="00DA47B4" w:rsidRDefault="00000000">
      <w:pPr>
        <w:pStyle w:val="CaptionedFigure"/>
        <w:framePr w:wrap="notBeside"/>
      </w:pPr>
      <w:r>
        <w:rPr>
          <w:noProof/>
        </w:rPr>
        <w:lastRenderedPageBreak/>
        <w:drawing>
          <wp:inline distT="0" distB="0" distL="0" distR="0" wp14:anchorId="6A2632AE" wp14:editId="56733279">
            <wp:extent cx="5670550" cy="3498352"/>
            <wp:effectExtent l="0" t="0" r="0" b="0"/>
            <wp:docPr id="51"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52" name="Picture" descr="../illustrations/S2_complete.png"/>
                    <pic:cNvPicPr>
                      <a:picLocks noChangeAspect="1" noChangeArrowheads="1"/>
                    </pic:cNvPicPr>
                  </pic:nvPicPr>
                  <pic:blipFill>
                    <a:blip r:embed="rId21"/>
                    <a:stretch>
                      <a:fillRect/>
                    </a:stretch>
                  </pic:blipFill>
                  <pic:spPr bwMode="auto">
                    <a:xfrm>
                      <a:off x="0" y="0"/>
                      <a:ext cx="5670550" cy="3498352"/>
                    </a:xfrm>
                    <a:prstGeom prst="rect">
                      <a:avLst/>
                    </a:prstGeom>
                    <a:noFill/>
                    <a:ln w="9525">
                      <a:noFill/>
                      <a:headEnd/>
                      <a:tailEnd/>
                    </a:ln>
                  </pic:spPr>
                </pic:pic>
              </a:graphicData>
            </a:graphic>
          </wp:inline>
        </w:drawing>
      </w:r>
    </w:p>
    <w:p w14:paraId="2D9B5EF1" w14:textId="77777777" w:rsidR="00DA47B4" w:rsidRDefault="00000000">
      <w:pPr>
        <w:pStyle w:val="ImageCaption"/>
      </w:pPr>
      <w:bookmarkStart w:id="18" w:name="fig:plot-study2"/>
      <w:bookmarkEnd w:id="18"/>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3C9613CD" w14:textId="77777777" w:rsidR="00DA47B4" w:rsidRDefault="00000000">
      <w:pPr>
        <w:pStyle w:val="berschrift2"/>
      </w:pPr>
      <w:bookmarkStart w:id="19" w:name="discussion-1"/>
      <w:bookmarkEnd w:id="17"/>
      <w:r>
        <w:t>Discussion</w:t>
      </w:r>
    </w:p>
    <w:p w14:paraId="6482678D" w14:textId="77777777" w:rsidR="00DA47B4" w:rsidRDefault="00000000">
      <w:pPr>
        <w:pStyle w:val="FirstParagrap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We hypothesized that children as a group would perform above chance earlier with </w:t>
      </w:r>
      <w:r>
        <w:rPr>
          <w:i/>
          <w:iCs/>
        </w:rPr>
        <w:t>Absolute Position</w:t>
      </w:r>
      <w:r>
        <w:t xml:space="preserve"> than with </w:t>
      </w:r>
      <w:r>
        <w:rPr>
          <w:i/>
          <w:iCs/>
        </w:rPr>
        <w:t>Relative Position</w:t>
      </w:r>
      <w:r>
        <w:t xml:space="preserve"> due to the latter obviously requiring children to integrate a higher number of items. Results confirm this assumption with a clear 5-months offset in the age </w:t>
      </w:r>
      <w:r>
        <w:lastRenderedPageBreak/>
        <w:t xml:space="preserve">of success. We hypothesized further that children would succeed earlier with </w:t>
      </w:r>
      <w:r>
        <w:rPr>
          <w:i/>
          <w:iCs/>
        </w:rPr>
        <w:t>Orientation of Object</w:t>
      </w:r>
      <w:r>
        <w:t xml:space="preserve"> than </w:t>
      </w:r>
      <w:r>
        <w:rPr>
          <w:i/>
          <w:iCs/>
        </w:rPr>
        <w:t>Orientation of Feature</w:t>
      </w:r>
      <w:r>
        <w:t xml:space="preserve">, due to the necessity of evaluating the composition of a target item rather than its general alignment with the cue. Here, we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79CB8262" w14:textId="77777777" w:rsidR="00DA47B4" w:rsidRDefault="00000000">
      <w:pPr>
        <w:pStyle w:val="berschrift1"/>
      </w:pPr>
      <w:bookmarkStart w:id="20" w:name="study-3"/>
      <w:bookmarkEnd w:id="14"/>
      <w:bookmarkEnd w:id="19"/>
      <w:r>
        <w:t>Study 3</w:t>
      </w:r>
    </w:p>
    <w:p w14:paraId="0F55D49A" w14:textId="77777777" w:rsidR="00DA47B4" w:rsidRDefault="00000000">
      <w:pPr>
        <w:pStyle w:val="FirstParagrap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infer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w:t>
      </w:r>
      <w:r>
        <w:lastRenderedPageBreak/>
        <w:t>size than in number, and that children will succeed earlier when cues refer to a target object per se rather than a salient feature thereof.</w:t>
      </w:r>
    </w:p>
    <w:p w14:paraId="6AC9DA1B" w14:textId="77777777" w:rsidR="00DA47B4" w:rsidRDefault="00000000">
      <w:pPr>
        <w:pStyle w:val="berschrift2"/>
      </w:pPr>
      <w:bookmarkStart w:id="21" w:name="stimuli-2"/>
      <w:r>
        <w:t>Stimuli</w:t>
      </w:r>
    </w:p>
    <w:p w14:paraId="5CC1268F" w14:textId="77777777" w:rsidR="00DA47B4" w:rsidRDefault="00000000">
      <w:pPr>
        <w:pStyle w:val="FirstParagrap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have salient protrusions, or partial areas resulting from incisions. For an overview of all stimuli presented in Study 3, see figure 4.</w:t>
      </w:r>
    </w:p>
    <w:p w14:paraId="78F11363" w14:textId="77777777" w:rsidR="00DA47B4" w:rsidRDefault="00000000">
      <w:pPr>
        <w:pStyle w:val="berschrift2"/>
      </w:pPr>
      <w:bookmarkStart w:id="22" w:name="participants-and-sample-2"/>
      <w:bookmarkEnd w:id="21"/>
      <w:r>
        <w:lastRenderedPageBreak/>
        <w:t>Participants and Sample</w:t>
      </w:r>
    </w:p>
    <w:p w14:paraId="5381BC31" w14:textId="77777777" w:rsidR="00DA47B4" w:rsidRDefault="00000000">
      <w:pPr>
        <w:pStyle w:val="FirstParagraph"/>
      </w:pPr>
      <w:r>
        <w:t>A total of 99 three- to seven-year-old children (M = 59.88 months, SD = 13.44 months, range 36 - 83 months; 55 female) participated. None of these had participated in the previous studies.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331D8E20" w14:textId="77777777" w:rsidR="00DA47B4" w:rsidRDefault="00000000">
      <w:pPr>
        <w:pStyle w:val="berschrift2"/>
      </w:pPr>
      <w:bookmarkStart w:id="23" w:name="results-2"/>
      <w:bookmarkEnd w:id="22"/>
      <w:r>
        <w:t>Results</w:t>
      </w:r>
    </w:p>
    <w:p w14:paraId="0FE231CD" w14:textId="77777777" w:rsidR="00DA47B4" w:rsidRDefault="00000000">
      <w:pPr>
        <w:pStyle w:val="FirstParagrap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739D4695" w14:textId="77777777" w:rsidR="00DA47B4" w:rsidRDefault="00000000">
      <w:pPr>
        <w:pStyle w:val="Textkrper"/>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73A9BC69" w14:textId="77777777" w:rsidR="00DA47B4" w:rsidRDefault="00000000">
      <w:pPr>
        <w:pStyle w:val="Textkrper"/>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w:t>
      </w:r>
      <w:r>
        <w:lastRenderedPageBreak/>
        <w:t xml:space="preserve">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age of success is provided by plotting the model estimates (cf. figure 4).</w:t>
      </w:r>
    </w:p>
    <w:p w14:paraId="51ADF2C4" w14:textId="77777777" w:rsidR="00DA47B4" w:rsidRDefault="00000000">
      <w:pPr>
        <w:pStyle w:val="CaptionedFigure"/>
        <w:framePr w:wrap="notBeside"/>
      </w:pPr>
      <w:r>
        <w:rPr>
          <w:noProof/>
        </w:rPr>
        <w:drawing>
          <wp:inline distT="0" distB="0" distL="0" distR="0" wp14:anchorId="1C643010" wp14:editId="4A94A310">
            <wp:extent cx="5670550" cy="3498352"/>
            <wp:effectExtent l="0" t="0" r="0" b="0"/>
            <wp:docPr id="60"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61" name="Picture" descr="../illustrations/S3_complete.png"/>
                    <pic:cNvPicPr>
                      <a:picLocks noChangeAspect="1" noChangeArrowheads="1"/>
                    </pic:cNvPicPr>
                  </pic:nvPicPr>
                  <pic:blipFill>
                    <a:blip r:embed="rId22"/>
                    <a:stretch>
                      <a:fillRect/>
                    </a:stretch>
                  </pic:blipFill>
                  <pic:spPr bwMode="auto">
                    <a:xfrm>
                      <a:off x="0" y="0"/>
                      <a:ext cx="5670550" cy="3498352"/>
                    </a:xfrm>
                    <a:prstGeom prst="rect">
                      <a:avLst/>
                    </a:prstGeom>
                    <a:noFill/>
                    <a:ln w="9525">
                      <a:noFill/>
                      <a:headEnd/>
                      <a:tailEnd/>
                    </a:ln>
                  </pic:spPr>
                </pic:pic>
              </a:graphicData>
            </a:graphic>
          </wp:inline>
        </w:drawing>
      </w:r>
    </w:p>
    <w:p w14:paraId="19473554" w14:textId="77777777" w:rsidR="00DA47B4" w:rsidRDefault="00000000">
      <w:pPr>
        <w:pStyle w:val="ImageCaption"/>
      </w:pPr>
      <w:bookmarkStart w:id="24" w:name="fig:plot-study3"/>
      <w:bookmarkEnd w:id="24"/>
      <w:r>
        <w:rPr>
          <w:i/>
          <w:iCs/>
        </w:rPr>
        <w:lastRenderedPageBreak/>
        <w:t>Figure</w:t>
      </w:r>
      <w:r>
        <w:t xml:space="preserve"> 4. </w:t>
      </w:r>
      <w:r>
        <w:rPr>
          <w:i/>
          <w:iCs/>
        </w:rPr>
        <w:t>Developmental Trajectories for all Conditions in Study 3.</w:t>
      </w:r>
      <w:r>
        <w:t xml:space="preserve">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w:t>
      </w:r>
    </w:p>
    <w:p w14:paraId="5BD58F1C" w14:textId="77777777" w:rsidR="00DA47B4" w:rsidRDefault="00000000">
      <w:pPr>
        <w:pStyle w:val="berschrift2"/>
      </w:pPr>
      <w:bookmarkStart w:id="25" w:name="discussion-2"/>
      <w:bookmarkEnd w:id="23"/>
      <w:r>
        <w:t>Discussion</w:t>
      </w:r>
    </w:p>
    <w:p w14:paraId="2AE01CD5" w14:textId="77777777" w:rsidR="00DA47B4" w:rsidRDefault="00000000">
      <w:pPr>
        <w:pStyle w:val="FirstParagraph"/>
      </w:pPr>
      <w:r>
        <w:t xml:space="preserve">Children succeed in most conditions just after the fourth birthday. 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t>
      </w:r>
      <w:r>
        <w:rPr>
          <w:i/>
          <w:iCs/>
        </w:rPr>
        <w:t>Size of Feature</w:t>
      </w:r>
      <w:r>
        <w:t xml:space="preserve"> stands out as the most difficult condition in the series of studies presented here with group-level success at 59 months as it requires children to consider proportions within the composition of the target stimulus. </w:t>
      </w:r>
      <w:r>
        <w:rPr>
          <w:i/>
          <w:iCs/>
        </w:rPr>
        <w:t>Size of Object</w:t>
      </w:r>
      <w:r>
        <w:t xml:space="preserve"> demonstrates that children generally can grasp sizeanalogies earlier with the exact same cues and </w:t>
      </w:r>
      <w:r>
        <w:rPr>
          <w:i/>
          <w:iCs/>
        </w:rPr>
        <w:t>Absolute Position</w:t>
      </w:r>
      <w:r>
        <w:t xml:space="preserve"> and </w:t>
      </w:r>
      <w:r>
        <w:rPr>
          <w:i/>
          <w:iCs/>
        </w:rPr>
        <w:t>Relative Position</w:t>
      </w:r>
      <w:r>
        <w:t xml:space="preserve"> from study 2 indicate that children can also master figure-ground relationships or relational patterns in targets even prior to the fourth birthday.</w:t>
      </w:r>
    </w:p>
    <w:p w14:paraId="72BEF44A" w14:textId="77777777" w:rsidR="00DA47B4" w:rsidRDefault="00000000">
      <w:pPr>
        <w:pStyle w:val="Textkrper"/>
      </w:pPr>
      <w:r>
        <w:rPr>
          <w:i/>
          <w:iCs/>
        </w:rPr>
        <w:lastRenderedPageBreak/>
        <w:t xml:space="preserve">Delving more into the roots for your hypotheses – they do seem reasonable from classic perception and attention developmental work – is needed for the roots of the rationale to become clear. Some articles that may be informative along this line of reasoning are works that showed a shift from 3 to 5 to 7 years range in children’s attention to whole objects vs. features of objects </w:t>
      </w:r>
      <w:hyperlink r:id="rId23">
        <w:r>
          <w:rPr>
            <w:rStyle w:val="Hyperlink"/>
            <w:i/>
            <w:iCs/>
          </w:rPr>
          <w:t>https://doi.org/10.1016/0022-0965(87)90057-9</w:t>
        </w:r>
      </w:hyperlink>
      <w:r>
        <w:rPr>
          <w:i/>
          <w:iCs/>
        </w:rPr>
        <w:t xml:space="preserve"> and research that showed interference in the processing of hue and form features early in the attentional process (pre-attention) </w:t>
      </w:r>
      <w:hyperlink r:id="rId24">
        <w:r>
          <w:rPr>
            <w:rStyle w:val="Hyperlink"/>
            <w:i/>
            <w:iCs/>
          </w:rPr>
          <w:t>https://doi.org/10.1016/S0166-4115(08)60456-2</w:t>
        </w:r>
      </w:hyperlink>
      <w:r>
        <w:rPr>
          <w:i/>
          <w:iCs/>
        </w:rPr>
        <w:t xml:space="preserve"> . While not directly relevant as the current task is very different, these classic works may raise additional interpretations of the object/feature findings reported here. My understanding of the early work, in a nutshell, is that younger children process stimuli as wholes and only later are their attentional processes developed sufficiently to focus attention on specific features. This developmental trend, and interference when the task requires selective attention on a specific perceptual dimension of a stimulus (size, orientation, form, etc) may explain, for example, why the size of the feature was particularly difficult for children.</w:t>
      </w:r>
    </w:p>
    <w:p w14:paraId="22AE9DB7" w14:textId="77777777" w:rsidR="00DA47B4" w:rsidRDefault="00000000">
      <w:pPr>
        <w:pStyle w:val="Textkrper"/>
      </w:pPr>
      <w:r>
        <w:t>Response: Thank you, this is extremely helpful. We have incorporated these references in the interim discussions concluding the individual studies.</w:t>
      </w:r>
    </w:p>
    <w:p w14:paraId="1FE53F70" w14:textId="77777777" w:rsidR="00DA47B4" w:rsidRDefault="00000000">
      <w:pPr>
        <w:pStyle w:val="Textkrper"/>
      </w:pPr>
      <w:r>
        <w:t>Callaghan, T. C. (1990). Texture segregation in young children. In Advances in psychology (Vol. 69, pp. 175-195). North-Holland.</w:t>
      </w:r>
    </w:p>
    <w:p w14:paraId="38BF69E1" w14:textId="77777777" w:rsidR="00DA47B4" w:rsidRDefault="00000000">
      <w:pPr>
        <w:pStyle w:val="Textkrper"/>
      </w:pPr>
      <w:r>
        <w:t>Shepp, B. E., Barrett, S. E., &amp; Kolbet, L. L. (1987). The development of selective attention: Holistic perception versus resource allocation. Journal of Experimental Child Psychology, 43(2), 159-180.</w:t>
      </w:r>
    </w:p>
    <w:p w14:paraId="224DAD70" w14:textId="77777777" w:rsidR="00DA47B4" w:rsidRDefault="00000000">
      <w:pPr>
        <w:pStyle w:val="Textkrper"/>
      </w:pPr>
      <w:r>
        <w:lastRenderedPageBreak/>
        <w:t xml:space="preserve">Diamond, A., Carlson, S. M., &amp; Beck, D. M. (2005). Preschool children’s performance in task switching on the dimensional change card sort task: Separating the dimensions aids the ability to switch. Developmental Neuropsychology, 28(2), 689–729. </w:t>
      </w:r>
      <w:hyperlink r:id="rId25">
        <w:r>
          <w:rPr>
            <w:rStyle w:val="Hyperlink"/>
          </w:rPr>
          <w:t>https://doi.org/10.1207/s15326942dn2802_7</w:t>
        </w:r>
      </w:hyperlink>
    </w:p>
    <w:p w14:paraId="19036D38" w14:textId="77777777" w:rsidR="00DA47B4" w:rsidRDefault="00000000">
      <w:pPr>
        <w:pStyle w:val="berschrift1"/>
      </w:pPr>
      <w:bookmarkStart w:id="26" w:name="discussion-3"/>
      <w:bookmarkEnd w:id="20"/>
      <w:bookmarkEnd w:id="25"/>
      <w:r>
        <w:t>Discussion</w:t>
      </w:r>
    </w:p>
    <w:p w14:paraId="3381B46B" w14:textId="77777777" w:rsidR="00DA47B4" w:rsidRDefault="00000000">
      <w:pPr>
        <w:pStyle w:val="FirstParagraph"/>
      </w:pPr>
      <w:r>
        <w:t>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While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11F333C2" w14:textId="77777777" w:rsidR="00DA47B4" w:rsidRDefault="00000000">
      <w:pPr>
        <w:pStyle w:val="Textkrper"/>
      </w:pPr>
      <w:r>
        <w:t xml:space="preserve">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w:t>
      </w:r>
      <w:r>
        <w:lastRenderedPageBreak/>
        <w:t>commonly done in match-to-sample designs (e.g. “Which ones go together?”). Rather children were told that their interlocutor would like to help them find an item in a game of hide and seek and would create a drawing for them. Children then had to infer that the interlocutors drawings my be read as novel symbolic cues referring to either choice option. To prevent learning or demand effects across trials, children did not receive feedback for their responses and were presented with a novel stimulus pairing in each trial.</w:t>
      </w:r>
    </w:p>
    <w:p w14:paraId="3A154682" w14:textId="77777777" w:rsidR="00DA47B4" w:rsidRDefault="00000000">
      <w:pPr>
        <w:pStyle w:val="Textkrper"/>
      </w:pPr>
      <w:r>
        <w:t xml:space="preserve">In Study 1, we found that in </w:t>
      </w:r>
      <w:r>
        <w:rPr>
          <w:i/>
          <w:iCs/>
        </w:rPr>
        <w:t>Representation</w:t>
      </w:r>
      <w:r>
        <w:t xml:space="preserve"> - with cues that are direct outline drawings of the items they refer to - children are robustly better than chance at the lower boundary of our age-window which demonstrates that the general task design and setup are sufficiently clear even for the youngest children in the sample. A second condition, </w:t>
      </w:r>
      <w:r>
        <w:rPr>
          <w:i/>
          <w:iCs/>
        </w:rPr>
        <w:t>Pars Pro Toto</w:t>
      </w:r>
      <w:r>
        <w:t xml:space="preserve">, used the same stimuli as </w:t>
      </w:r>
      <w:r>
        <w:rPr>
          <w:i/>
          <w:iCs/>
        </w:rPr>
        <w:t>Representation</w:t>
      </w:r>
      <w:r>
        <w:t xml:space="preserve">, but the cues provided only half of the respective figures to guide children’s choices (cf. 2 B, boxes 1 &amp; 2). Despite using the same target stimuli as </w:t>
      </w:r>
      <w:r>
        <w:rPr>
          <w:i/>
          <w:iCs/>
        </w:rPr>
        <w:t>Representation</w:t>
      </w:r>
      <w:r>
        <w:t xml:space="preserve"> and very similar cues, children succeeded in </w:t>
      </w:r>
      <w:r>
        <w:rPr>
          <w:i/>
          <w:iCs/>
        </w:rPr>
        <w:t>Pars Pro Toto</w:t>
      </w:r>
      <w:r>
        <w:t xml:space="preserve"> no sooner than at 38 months of age.This demonstrates that by three years of age, children’s symbolic competence is still fragile if additional steps such as the straightforward completion of a canonic shape is necessary for referential inference. Two further conditions aimed at abstracting from the cue representations while still retaining characteristic features of the target shapes with regard to an analogy in form, namely whether they were more round or edgy. </w:t>
      </w:r>
      <w:r>
        <w:rPr>
          <w:i/>
          <w:iCs/>
        </w:rPr>
        <w:t>Simple Form Analogy</w:t>
      </w:r>
      <w:r>
        <w:t xml:space="preserve"> employed simple shapes as cues with success at 47 months, and </w:t>
      </w:r>
      <w:r>
        <w:rPr>
          <w:i/>
          <w:iCs/>
        </w:rPr>
        <w:t>Complex Form Analogy</w:t>
      </w:r>
      <w:r>
        <w:t xml:space="preserve"> more elaborate patterns with success at 50 months. This is the first time a developmental setup features abstract shape as a means of disambiguation in graphic communication. Taken together, study 1 provides a within-subjects comparison of young children’s ability to read representational, metonymical and metaphorical uses of form in graphic communication, showing that while iconicity marks the entry point for the comprehension of graphic cues, more abstract representations are only accessible by the four</w:t>
      </w:r>
    </w:p>
    <w:p w14:paraId="5D3EC96F" w14:textId="77777777" w:rsidR="00DA47B4" w:rsidRDefault="00000000">
      <w:pPr>
        <w:pStyle w:val="Textkrper"/>
      </w:pPr>
      <w:r>
        <w:lastRenderedPageBreak/>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 the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50 months. Contrary to our preregistered prediction, children succeed even earlier - at 47 months - in the complementary condition </w:t>
      </w:r>
      <w:r>
        <w:rPr>
          <w:i/>
          <w:iCs/>
        </w:rPr>
        <w:t>Orientation of Feature</w:t>
      </w:r>
      <w:r>
        <w:t>. In this condition, the cues and targets had a feature like a bump or an opening that is oriented either up- or downward.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4CC289DB" w14:textId="77777777" w:rsidR="00DA47B4" w:rsidRDefault="00000000">
      <w:pPr>
        <w:pStyle w:val="Textkrper"/>
      </w:pPr>
      <w:r>
        <w:lastRenderedPageBreak/>
        <w:t xml:space="preserve">Study 3 set out to further reduce iconicity by drawing abstract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50 months. A different pattern emerges for the two conditions featuring size relationships. Children succeed at 49 months of age in </w:t>
      </w:r>
      <w:r>
        <w:rPr>
          <w:i/>
          <w:iCs/>
        </w:rPr>
        <w:t>Size of Object</w:t>
      </w:r>
      <w:r>
        <w:t xml:space="preserve">, but ten months later in </w:t>
      </w:r>
      <w:r>
        <w:rPr>
          <w:i/>
          <w:iCs/>
        </w:rPr>
        <w:t>Size of Feature</w:t>
      </w:r>
      <w:r>
        <w:t xml:space="preserve"> in which target and distractor figures have a small or large opening, bump or hole. This aligns with research showing that while preschoolers are generally sensitive to the canonical size of objects depicted in graphical displays (Bloom &amp; Markson, 1998; Cox, 2005; Long et al., 2019) they are much less likely to spontaneously extract size relations among abstract shapes (Kroupin &amp; Carey, 2022b).</w:t>
      </w:r>
    </w:p>
    <w:p w14:paraId="5E2F6AED" w14:textId="77777777" w:rsidR="00DA47B4" w:rsidRDefault="00000000">
      <w:pPr>
        <w:pStyle w:val="Textkrper"/>
      </w:pPr>
      <w:r>
        <w:t xml:space="preserve">A set of major findings emerges from the studies presented here. First, our results robustly confirm that symbol-referent relationships are easiest for children when they are based in iconicity and become gradually more difficult as visual similarity decreases (Ganea et al., 2008) as access to conceptual information appears to develop later in the preschool years (Callaghan, 2000).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Wilson, &amp; Phillips, 1998). Shifting attention to different aspects of stimuli sets requires children to keep track of features they have explored. </w:t>
      </w:r>
      <w:r>
        <w:lastRenderedPageBreak/>
        <w:t>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at 50 months of age, children are generally able to identify various types of analogies spontaneously in unfamiliar symbolic displays. Previous findings have challenged assumptions of domain specificity in symbol development modalities such as graphic, gestural or verbal communication and rather highlighted the flexibility of symbolic and pragmatic abilities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almost at the same point in time, which is highly indicative of a major shift in pragmatic and analogical reasoning skills in the fourth year that drive children’s ability for solving communicative coordination problems.</w:t>
      </w:r>
    </w:p>
    <w:p w14:paraId="5C25F42A" w14:textId="77777777" w:rsidR="00DA47B4" w:rsidRDefault="00000000">
      <w:pPr>
        <w:pStyle w:val="Textkrper"/>
      </w:pPr>
      <w:r>
        <w:t xml:space="preserve">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w:t>
      </w:r>
      <w:r>
        <w:lastRenderedPageBreak/>
        <w:t>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major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growth in working memory (Richland et al., 2006; Simms, Frausel, &amp; Richland, 2018), executive functions (Bohn, Tessler, Kordt, Hausmann, &amp; Frank, 2023; Thibaut, French, &amp; Vezneva, 2010) and inhibitory control (Carlson &amp; Wang, 2007; Jablonski, 2014).</w:t>
      </w:r>
    </w:p>
    <w:p w14:paraId="3714E8F1" w14:textId="77777777" w:rsidR="00DA47B4" w:rsidRDefault="00000000">
      <w:pPr>
        <w:pStyle w:val="Textkrper"/>
      </w:pPr>
      <w:r>
        <w:t>*In the discussion, we outline specifically how EF skills may help with the demands of our task working memory: exploring perspectives inhibition: stay on task even when demanding suppression of irrelevant information: ignoring shape as it not relevant in most task cognitive flexibility: being able to switch modes of interpretation across conditions**</w:t>
      </w:r>
    </w:p>
    <w:p w14:paraId="38393ECB" w14:textId="77777777" w:rsidR="00DA47B4" w:rsidRDefault="00000000">
      <w:pPr>
        <w:pStyle w:val="Textkrper"/>
      </w:pPr>
      <w:r>
        <w:t xml:space="preserve">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w:t>
      </w:r>
      <w:r>
        <w:lastRenderedPageBreak/>
        <w:t>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judgements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p>
    <w:p w14:paraId="072AB20A" w14:textId="77777777" w:rsidR="00DA47B4" w:rsidRDefault="00000000">
      <w:pPr>
        <w:pStyle w:val="Textkrper"/>
      </w:pPr>
      <w:r>
        <w:t xml:space="preserve">The research described here has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 general problem is that the 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w:t>
      </w:r>
      <w:r>
        <w:lastRenderedPageBreak/>
        <w:t>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Callaghan, 1999; Nölle, Fusaroli, Mills, &amp; Tylén, 2020; Raviv &amp; Arnon, 2018). The results here demonstrates that at least by the age of four, they would be apt receivers of symbolic creations whose reference is based on iconicity, metonymy, alignment, orientation, as well as analogies in form, size and</w:t>
      </w:r>
    </w:p>
    <w:p w14:paraId="0BFCD745" w14:textId="77777777" w:rsidR="00DA47B4" w:rsidRDefault="00000000">
      <w:pPr>
        <w:pStyle w:val="Textkrper"/>
      </w:pPr>
      <w:r>
        <w:t>Taken together, our work provides one of the most comprehensive, robust and systematic investigations of young children’s ability to find meaning in unfamiliar graphic symbols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7DDB16ED" w14:textId="77777777" w:rsidR="00DA47B4" w:rsidRDefault="00000000">
      <w:r>
        <w:br w:type="page"/>
      </w:r>
    </w:p>
    <w:p w14:paraId="590B9063" w14:textId="77777777" w:rsidR="00DA47B4" w:rsidRDefault="00000000">
      <w:pPr>
        <w:pStyle w:val="berschrift1"/>
      </w:pPr>
      <w:bookmarkStart w:id="27" w:name="references"/>
      <w:bookmarkEnd w:id="26"/>
      <w:r>
        <w:lastRenderedPageBreak/>
        <w:t>References</w:t>
      </w:r>
    </w:p>
    <w:p w14:paraId="2BAEFD68" w14:textId="77777777" w:rsidR="00DA47B4" w:rsidRDefault="00000000">
      <w:pPr>
        <w:pStyle w:val="Literaturverzeichnis"/>
      </w:pPr>
      <w:bookmarkStart w:id="28" w:name="ref-allen2004both"/>
      <w:bookmarkStart w:id="29" w:name="refs"/>
      <w:r>
        <w:t xml:space="preserve">Allen Preissler, M., &amp; Carey, S. (2004). Do both pictures and words function as symbols for 18-and 24-month-old children? </w:t>
      </w:r>
      <w:r>
        <w:rPr>
          <w:i/>
          <w:iCs/>
        </w:rPr>
        <w:t>Journal of Cognition and Development</w:t>
      </w:r>
      <w:r>
        <w:t xml:space="preserve">, </w:t>
      </w:r>
      <w:r>
        <w:rPr>
          <w:i/>
          <w:iCs/>
        </w:rPr>
        <w:t>5</w:t>
      </w:r>
      <w:r>
        <w:t>(2), 185–212.</w:t>
      </w:r>
    </w:p>
    <w:p w14:paraId="733C57A5" w14:textId="77777777" w:rsidR="00DA47B4" w:rsidRDefault="00000000">
      <w:pPr>
        <w:pStyle w:val="Literaturverzeichnis"/>
      </w:pPr>
      <w:bookmarkStart w:id="30" w:name="ref-bermudez2020sound"/>
      <w:bookmarkEnd w:id="28"/>
      <w:r>
        <w:t xml:space="preserve">Bermúdez, N. (2020). Sound symbolism. </w:t>
      </w:r>
      <w:r>
        <w:rPr>
          <w:i/>
          <w:iCs/>
        </w:rPr>
        <w:t>The International Encyclopedia of Linguistic Anthropology</w:t>
      </w:r>
      <w:r>
        <w:t>, 1–3.</w:t>
      </w:r>
    </w:p>
    <w:p w14:paraId="6CFB3F1D" w14:textId="77777777" w:rsidR="00DA47B4" w:rsidRDefault="00000000">
      <w:pPr>
        <w:pStyle w:val="Literaturverzeichnis"/>
      </w:pPr>
      <w:bookmarkStart w:id="31" w:name="ref-blades1994development"/>
      <w:bookmarkEnd w:id="30"/>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7DB12435" w14:textId="77777777" w:rsidR="00DA47B4" w:rsidRDefault="00000000">
      <w:pPr>
        <w:pStyle w:val="Literaturverzeichnis"/>
      </w:pPr>
      <w:bookmarkStart w:id="32" w:name="ref-bloom1998intention"/>
      <w:bookmarkEnd w:id="31"/>
      <w:r>
        <w:t xml:space="preserve">Bloom, P., &amp; Markson, L. (1998). Intention and analogy in children’s naming of pictorial representations. </w:t>
      </w:r>
      <w:r>
        <w:rPr>
          <w:i/>
          <w:iCs/>
        </w:rPr>
        <w:t>Psychological Science</w:t>
      </w:r>
      <w:r>
        <w:t xml:space="preserve">, </w:t>
      </w:r>
      <w:r>
        <w:rPr>
          <w:i/>
          <w:iCs/>
        </w:rPr>
        <w:t>9</w:t>
      </w:r>
      <w:r>
        <w:t>(3), 200–204.</w:t>
      </w:r>
    </w:p>
    <w:p w14:paraId="0FC6FC05" w14:textId="77777777" w:rsidR="00DA47B4" w:rsidRDefault="00000000">
      <w:pPr>
        <w:pStyle w:val="Literaturverzeichnis"/>
      </w:pPr>
      <w:bookmarkStart w:id="33" w:name="ref-bohn2019natural"/>
      <w:bookmarkEnd w:id="32"/>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5FBEFB8B" w14:textId="77777777" w:rsidR="00DA47B4" w:rsidRDefault="00000000">
      <w:pPr>
        <w:pStyle w:val="Literaturverzeichnis"/>
      </w:pPr>
      <w:bookmarkStart w:id="34" w:name="ref-bohn2019young"/>
      <w:bookmarkEnd w:id="33"/>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3CC4F862" w14:textId="77777777" w:rsidR="00DA47B4" w:rsidRDefault="00000000">
      <w:pPr>
        <w:pStyle w:val="Literaturverzeichnis"/>
      </w:pPr>
      <w:bookmarkStart w:id="35" w:name="ref-bohn2023individual"/>
      <w:bookmarkEnd w:id="34"/>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6B79AF3A" w14:textId="77777777" w:rsidR="00DA47B4" w:rsidRDefault="00000000">
      <w:pPr>
        <w:pStyle w:val="Literaturverzeichnis"/>
      </w:pPr>
      <w:bookmarkStart w:id="36" w:name="ref-Bruner1996culture"/>
      <w:bookmarkEnd w:id="35"/>
      <w:r>
        <w:t xml:space="preserve">Bruner, J. S. (1996). </w:t>
      </w:r>
      <w:r>
        <w:rPr>
          <w:i/>
          <w:iCs/>
        </w:rPr>
        <w:t>The culture of education</w:t>
      </w:r>
      <w:r>
        <w:t>. Harvard University Press.</w:t>
      </w:r>
    </w:p>
    <w:p w14:paraId="364425ED" w14:textId="77777777" w:rsidR="00DA47B4" w:rsidRDefault="00000000">
      <w:pPr>
        <w:pStyle w:val="Literaturverzeichnis"/>
      </w:pPr>
      <w:bookmarkStart w:id="37" w:name="ref-burkner2017brms"/>
      <w:bookmarkEnd w:id="36"/>
      <w:r>
        <w:lastRenderedPageBreak/>
        <w:t xml:space="preserve">Bürkner, P.-C. (2017). Brms: An r package for bayesian multilevel models using stan. </w:t>
      </w:r>
      <w:r>
        <w:rPr>
          <w:i/>
          <w:iCs/>
        </w:rPr>
        <w:t>Journal of Statistical Software</w:t>
      </w:r>
      <w:r>
        <w:t xml:space="preserve">, </w:t>
      </w:r>
      <w:r>
        <w:rPr>
          <w:i/>
          <w:iCs/>
        </w:rPr>
        <w:t>80</w:t>
      </w:r>
      <w:r>
        <w:t>, 1–28.</w:t>
      </w:r>
    </w:p>
    <w:p w14:paraId="6F6FD7A0" w14:textId="77777777" w:rsidR="00DA47B4" w:rsidRDefault="00000000">
      <w:pPr>
        <w:pStyle w:val="Literaturverzeichnis"/>
      </w:pPr>
      <w:bookmarkStart w:id="38" w:name="ref-callaghan1999early"/>
      <w:bookmarkEnd w:id="37"/>
      <w:r>
        <w:t xml:space="preserve">Callaghan, T. (1999). Early understanding and production of graphic symbols. </w:t>
      </w:r>
      <w:r>
        <w:rPr>
          <w:i/>
          <w:iCs/>
        </w:rPr>
        <w:t>Child Development</w:t>
      </w:r>
      <w:r>
        <w:t xml:space="preserve">, </w:t>
      </w:r>
      <w:r>
        <w:rPr>
          <w:i/>
          <w:iCs/>
        </w:rPr>
        <w:t>70</w:t>
      </w:r>
      <w:r>
        <w:t>(6), 1314–1324.</w:t>
      </w:r>
    </w:p>
    <w:p w14:paraId="30B00FDC" w14:textId="77777777" w:rsidR="00DA47B4" w:rsidRDefault="00000000">
      <w:pPr>
        <w:pStyle w:val="Literaturverzeichnis"/>
      </w:pPr>
      <w:bookmarkStart w:id="39" w:name="ref-callaghan2000factors"/>
      <w:bookmarkEnd w:id="38"/>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6D5D32C7" w14:textId="77777777" w:rsidR="00DA47B4" w:rsidRDefault="00000000">
      <w:pPr>
        <w:pStyle w:val="Literaturverzeichnis"/>
      </w:pPr>
      <w:bookmarkStart w:id="40" w:name="ref-callaghan2015development"/>
      <w:bookmarkEnd w:id="39"/>
      <w:r>
        <w:t xml:space="preserve">Callaghan, T., &amp; Corbit, J. (2015). The development of symbolic representation. In R. M. Lerner (Ed.), </w:t>
      </w:r>
      <w:r>
        <w:rPr>
          <w:i/>
          <w:iCs/>
        </w:rPr>
        <w:t>Handbook of child psychology and developmental science</w:t>
      </w:r>
      <w:r>
        <w:t xml:space="preserve">. Wiley. </w:t>
      </w:r>
      <w:hyperlink r:id="rId26">
        <w:r>
          <w:rPr>
            <w:rStyle w:val="Hyperlink"/>
          </w:rPr>
          <w:t>https://doi.org/10.1002/9781118963418.childpsy207</w:t>
        </w:r>
      </w:hyperlink>
    </w:p>
    <w:p w14:paraId="2B71DD8D" w14:textId="77777777" w:rsidR="00DA47B4" w:rsidRDefault="00000000">
      <w:pPr>
        <w:pStyle w:val="Literaturverzeichnis"/>
      </w:pPr>
      <w:bookmarkStart w:id="41" w:name="ref-callaghan2008children"/>
      <w:bookmarkEnd w:id="40"/>
      <w:r>
        <w:t xml:space="preserve">Callaghan, T., &amp; Rochat, P. (2008). Children’s understanding of artist-picture relations: Implications for their theories of pictures. In C. Milbrath &amp; H. M. Trautner (Eds.), </w:t>
      </w:r>
      <w:r>
        <w:rPr>
          <w:i/>
          <w:iCs/>
        </w:rPr>
        <w:t>Children’s understanding and production of pictures, drawings, and art: Theoretical and empirical approaches</w:t>
      </w:r>
      <w:r>
        <w:t xml:space="preserve"> (pp. 187–205). Hogrefe &amp; Huber Publishers.</w:t>
      </w:r>
    </w:p>
    <w:p w14:paraId="4A4D3B5F" w14:textId="77777777" w:rsidR="00DA47B4" w:rsidRDefault="00000000">
      <w:pPr>
        <w:pStyle w:val="Literaturverzeichnis"/>
      </w:pPr>
      <w:bookmarkStart w:id="42" w:name="ref-callaghan2012young"/>
      <w:bookmarkEnd w:id="41"/>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0FEB7A7D" w14:textId="77777777" w:rsidR="00DA47B4" w:rsidRDefault="00000000">
      <w:pPr>
        <w:pStyle w:val="Literaturverzeichnis"/>
      </w:pPr>
      <w:bookmarkStart w:id="43" w:name="ref-carey2000origin"/>
      <w:bookmarkEnd w:id="42"/>
      <w:r>
        <w:t xml:space="preserve">Carey, S. (2000). The origin of concepts. </w:t>
      </w:r>
      <w:r>
        <w:rPr>
          <w:i/>
          <w:iCs/>
        </w:rPr>
        <w:t>Journal of Cognition and Development</w:t>
      </w:r>
      <w:r>
        <w:t xml:space="preserve">, </w:t>
      </w:r>
      <w:r>
        <w:rPr>
          <w:i/>
          <w:iCs/>
        </w:rPr>
        <w:t>1</w:t>
      </w:r>
      <w:r>
        <w:t>(1), 37–41.</w:t>
      </w:r>
    </w:p>
    <w:p w14:paraId="57C6D21E" w14:textId="77777777" w:rsidR="00DA47B4" w:rsidRDefault="00000000">
      <w:pPr>
        <w:pStyle w:val="Literaturverzeichnis"/>
      </w:pPr>
      <w:bookmarkStart w:id="44" w:name="ref-carey2019ontogenetic"/>
      <w:bookmarkEnd w:id="43"/>
      <w:r>
        <w:t xml:space="preserve">Carey, S., &amp; Barner, D. (2019). Ontogenetic origins of human integer representations. </w:t>
      </w:r>
      <w:r>
        <w:rPr>
          <w:i/>
          <w:iCs/>
        </w:rPr>
        <w:t>Trends in Cognitive Sciences</w:t>
      </w:r>
      <w:r>
        <w:t xml:space="preserve">, </w:t>
      </w:r>
      <w:r>
        <w:rPr>
          <w:i/>
          <w:iCs/>
        </w:rPr>
        <w:t>23</w:t>
      </w:r>
      <w:r>
        <w:t>(10), 823–835.</w:t>
      </w:r>
    </w:p>
    <w:p w14:paraId="0177B865" w14:textId="77777777" w:rsidR="00DA47B4" w:rsidRDefault="00000000">
      <w:pPr>
        <w:pStyle w:val="Literaturverzeichnis"/>
      </w:pPr>
      <w:bookmarkStart w:id="45" w:name="ref-carlson2007inhibitory"/>
      <w:bookmarkEnd w:id="44"/>
      <w:r>
        <w:t xml:space="preserve">Carlson, S. M., &amp; Wang, T. S. (2007). Inhibitory control and emotion regulation in preschool children. </w:t>
      </w:r>
      <w:r>
        <w:rPr>
          <w:i/>
          <w:iCs/>
        </w:rPr>
        <w:t>Cognitive Development</w:t>
      </w:r>
      <w:r>
        <w:t xml:space="preserve">, </w:t>
      </w:r>
      <w:r>
        <w:rPr>
          <w:i/>
          <w:iCs/>
        </w:rPr>
        <w:t>22</w:t>
      </w:r>
      <w:r>
        <w:t>(4), 489–510.</w:t>
      </w:r>
    </w:p>
    <w:p w14:paraId="68E9B8F4" w14:textId="77777777" w:rsidR="00DA47B4" w:rsidRDefault="00000000">
      <w:pPr>
        <w:pStyle w:val="Literaturverzeichnis"/>
      </w:pPr>
      <w:bookmarkStart w:id="46" w:name="ref-christie2014language"/>
      <w:bookmarkEnd w:id="45"/>
      <w:r>
        <w:lastRenderedPageBreak/>
        <w:t xml:space="preserve">Christie, S., &amp; Gentner, D. (2014). Language helps children succeed on a classic analogy task. </w:t>
      </w:r>
      <w:r>
        <w:rPr>
          <w:i/>
          <w:iCs/>
        </w:rPr>
        <w:t>Cognitive Science</w:t>
      </w:r>
      <w:r>
        <w:t xml:space="preserve">, </w:t>
      </w:r>
      <w:r>
        <w:rPr>
          <w:i/>
          <w:iCs/>
        </w:rPr>
        <w:t>38</w:t>
      </w:r>
      <w:r>
        <w:t>(2), 383–397.</w:t>
      </w:r>
    </w:p>
    <w:p w14:paraId="696966AB" w14:textId="77777777" w:rsidR="00DA47B4" w:rsidRDefault="00000000">
      <w:pPr>
        <w:pStyle w:val="Literaturverzeichnis"/>
      </w:pPr>
      <w:bookmarkStart w:id="47" w:name="ref-cleveland1984graphical"/>
      <w:bookmarkEnd w:id="46"/>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0B94A75C" w14:textId="77777777" w:rsidR="00DA47B4" w:rsidRDefault="00000000">
      <w:pPr>
        <w:pStyle w:val="Literaturverzeichnis"/>
      </w:pPr>
      <w:bookmarkStart w:id="48" w:name="ref-cooperrider2019career"/>
      <w:bookmarkEnd w:id="47"/>
      <w:r>
        <w:t xml:space="preserve">Cooperrider, K., &amp; Gentner, D. (2019). The career of measurement. </w:t>
      </w:r>
      <w:r>
        <w:rPr>
          <w:i/>
          <w:iCs/>
        </w:rPr>
        <w:t>Cognition</w:t>
      </w:r>
      <w:r>
        <w:t xml:space="preserve">, </w:t>
      </w:r>
      <w:r>
        <w:rPr>
          <w:i/>
          <w:iCs/>
        </w:rPr>
        <w:t>191</w:t>
      </w:r>
      <w:r>
        <w:t>, 103942.</w:t>
      </w:r>
    </w:p>
    <w:p w14:paraId="60E523DA" w14:textId="77777777" w:rsidR="00DA47B4" w:rsidRDefault="00000000">
      <w:pPr>
        <w:pStyle w:val="Literaturverzeichnis"/>
      </w:pPr>
      <w:bookmarkStart w:id="49" w:name="ref-cox2005pictorial"/>
      <w:bookmarkEnd w:id="48"/>
      <w:r>
        <w:t xml:space="preserve">Cox, M. (2005). </w:t>
      </w:r>
      <w:r>
        <w:rPr>
          <w:i/>
          <w:iCs/>
        </w:rPr>
        <w:t>The pictorial world of the child</w:t>
      </w:r>
      <w:r>
        <w:t>. Cambridge University Press.</w:t>
      </w:r>
    </w:p>
    <w:p w14:paraId="519D3B36" w14:textId="77777777" w:rsidR="00DA47B4" w:rsidRDefault="00000000">
      <w:pPr>
        <w:pStyle w:val="Literaturverzeichnis"/>
      </w:pPr>
      <w:bookmarkStart w:id="50" w:name="ref-cwiek2022bouba"/>
      <w:bookmarkEnd w:id="49"/>
      <w:r>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17F5585E" w14:textId="77777777" w:rsidR="00DA47B4" w:rsidRDefault="00000000">
      <w:pPr>
        <w:pStyle w:val="Literaturverzeichnis"/>
      </w:pPr>
      <w:bookmarkStart w:id="51" w:name="ref-daugli2016young"/>
      <w:bookmarkEnd w:id="50"/>
      <w:r>
        <w:t xml:space="preserve">Dağlı, Ü. Y., &amp; Halat, E. (2016). Young children’s conceptual understanding of triangle. </w:t>
      </w:r>
      <w:r>
        <w:rPr>
          <w:i/>
          <w:iCs/>
        </w:rPr>
        <w:t>Eurasia Journal of Mathematics, Science and Technology Education</w:t>
      </w:r>
      <w:r>
        <w:t xml:space="preserve">, </w:t>
      </w:r>
      <w:r>
        <w:rPr>
          <w:i/>
          <w:iCs/>
        </w:rPr>
        <w:t>12</w:t>
      </w:r>
      <w:r>
        <w:t>(2), 189–202.</w:t>
      </w:r>
    </w:p>
    <w:p w14:paraId="3A4BC825" w14:textId="77777777" w:rsidR="00DA47B4" w:rsidRDefault="00000000">
      <w:pPr>
        <w:pStyle w:val="Literaturverzeichnis"/>
      </w:pPr>
      <w:bookmarkStart w:id="52" w:name="ref-daucourt2021home"/>
      <w:bookmarkEnd w:id="51"/>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0849FD8D" w14:textId="77777777" w:rsidR="00DA47B4" w:rsidRDefault="00000000">
      <w:pPr>
        <w:pStyle w:val="Literaturverzeichnis"/>
      </w:pPr>
      <w:bookmarkStart w:id="53" w:name="ref-deluca2010developmental"/>
      <w:bookmarkEnd w:id="52"/>
      <w:r>
        <w:t xml:space="preserve">De Luca, C. R., &amp; Leventer, R. J. (2010). Developmental trajectories of executive functions across the lifespan. In </w:t>
      </w:r>
      <w:r>
        <w:rPr>
          <w:i/>
          <w:iCs/>
        </w:rPr>
        <w:t>Executive functions and the frontal lobes</w:t>
      </w:r>
      <w:r>
        <w:t xml:space="preserve"> (pp. 57–90). Psychology Press.</w:t>
      </w:r>
    </w:p>
    <w:p w14:paraId="1990AFFD" w14:textId="77777777" w:rsidR="00DA47B4" w:rsidRDefault="00000000">
      <w:pPr>
        <w:pStyle w:val="Literaturverzeichnis"/>
      </w:pPr>
      <w:bookmarkStart w:id="54" w:name="ref-Dehaene2009reading"/>
      <w:bookmarkEnd w:id="53"/>
      <w:r>
        <w:t xml:space="preserve">Dehaene, S. (2009). </w:t>
      </w:r>
      <w:r>
        <w:rPr>
          <w:i/>
          <w:iCs/>
        </w:rPr>
        <w:t>Reading in the brain: The new science of how we read</w:t>
      </w:r>
      <w:r>
        <w:t>. New York: Penguin.</w:t>
      </w:r>
    </w:p>
    <w:p w14:paraId="5EBC455D" w14:textId="77777777" w:rsidR="00DA47B4" w:rsidRDefault="00000000">
      <w:pPr>
        <w:pStyle w:val="Literaturverzeichnis"/>
      </w:pPr>
      <w:bookmarkStart w:id="55" w:name="ref-dehaene2006core"/>
      <w:bookmarkEnd w:id="54"/>
      <w:r>
        <w:t xml:space="preserve">Dehaene, S., Izard, V., Pica, P., &amp; Spelke, E. (2006). Core knowledge of geometry in an amazonian indigene group. </w:t>
      </w:r>
      <w:r>
        <w:rPr>
          <w:i/>
          <w:iCs/>
        </w:rPr>
        <w:t>Science</w:t>
      </w:r>
      <w:r>
        <w:t xml:space="preserve">, </w:t>
      </w:r>
      <w:r>
        <w:rPr>
          <w:i/>
          <w:iCs/>
        </w:rPr>
        <w:t>311</w:t>
      </w:r>
      <w:r>
        <w:t>(5759), 381–384.</w:t>
      </w:r>
    </w:p>
    <w:p w14:paraId="77BDF36C" w14:textId="77777777" w:rsidR="00DA47B4" w:rsidRDefault="00000000">
      <w:pPr>
        <w:pStyle w:val="Literaturverzeichnis"/>
      </w:pPr>
      <w:bookmarkStart w:id="56" w:name="ref-DeLoache1995early"/>
      <w:bookmarkEnd w:id="55"/>
      <w:r>
        <w:lastRenderedPageBreak/>
        <w:t xml:space="preserve">DeLoache, J. S. (1995). Early understanding and use of symbols: The model model. </w:t>
      </w:r>
      <w:r>
        <w:rPr>
          <w:i/>
          <w:iCs/>
        </w:rPr>
        <w:t>Current Directions in Cognitive Science</w:t>
      </w:r>
      <w:r>
        <w:t xml:space="preserve">, </w:t>
      </w:r>
      <w:r>
        <w:rPr>
          <w:i/>
          <w:iCs/>
        </w:rPr>
        <w:t>4</w:t>
      </w:r>
      <w:r>
        <w:t>, 109–113.</w:t>
      </w:r>
    </w:p>
    <w:p w14:paraId="4D3072FD" w14:textId="77777777" w:rsidR="00DA47B4" w:rsidRDefault="00000000">
      <w:pPr>
        <w:pStyle w:val="Literaturverzeichnis"/>
      </w:pPr>
      <w:bookmarkStart w:id="57" w:name="ref-deloache2004becoming"/>
      <w:bookmarkEnd w:id="56"/>
      <w:r>
        <w:t xml:space="preserve">DeLoache, J. S. (2004). Becoming symbol-minded. </w:t>
      </w:r>
      <w:r>
        <w:rPr>
          <w:i/>
          <w:iCs/>
        </w:rPr>
        <w:t>Trends in Cognitive Sciences</w:t>
      </w:r>
      <w:r>
        <w:t xml:space="preserve">, </w:t>
      </w:r>
      <w:r>
        <w:rPr>
          <w:i/>
          <w:iCs/>
        </w:rPr>
        <w:t>8</w:t>
      </w:r>
      <w:r>
        <w:t>(2), 66–70.</w:t>
      </w:r>
    </w:p>
    <w:p w14:paraId="56B83E62" w14:textId="77777777" w:rsidR="00DA47B4" w:rsidRDefault="00000000">
      <w:pPr>
        <w:pStyle w:val="Literaturverzeichnis"/>
      </w:pPr>
      <w:bookmarkStart w:id="58" w:name="ref-deloache2011early"/>
      <w:bookmarkEnd w:id="57"/>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753E13B5" w14:textId="77777777" w:rsidR="00DA47B4" w:rsidRDefault="00000000">
      <w:pPr>
        <w:pStyle w:val="Literaturverzeichnis"/>
      </w:pPr>
      <w:bookmarkStart w:id="59" w:name="ref-deloache1992picture"/>
      <w:bookmarkEnd w:id="58"/>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69870C59" w14:textId="77777777" w:rsidR="00DA47B4" w:rsidRDefault="00000000">
      <w:pPr>
        <w:pStyle w:val="Literaturverzeichnis"/>
      </w:pPr>
      <w:bookmarkStart w:id="60" w:name="ref-deloache1998grasping"/>
      <w:bookmarkEnd w:id="59"/>
      <w:r>
        <w:t xml:space="preserve">DeLoache, J. S., Pierroutsakos, S. L., Uttal, D. H., Rosengren, K. S., &amp; Gottlieb, A. (1998). Grasping the nature of pictures. </w:t>
      </w:r>
      <w:r>
        <w:rPr>
          <w:i/>
          <w:iCs/>
        </w:rPr>
        <w:t>Psychological Science</w:t>
      </w:r>
      <w:r>
        <w:t xml:space="preserve">, </w:t>
      </w:r>
      <w:r>
        <w:rPr>
          <w:i/>
          <w:iCs/>
        </w:rPr>
        <w:t>9</w:t>
      </w:r>
      <w:r>
        <w:t>(3), 205–210.</w:t>
      </w:r>
    </w:p>
    <w:p w14:paraId="7CF1AD70" w14:textId="77777777" w:rsidR="00DA47B4" w:rsidRDefault="00000000">
      <w:pPr>
        <w:pStyle w:val="Literaturverzeichnis"/>
      </w:pPr>
      <w:bookmarkStart w:id="61" w:name="ref-diamond2013executive"/>
      <w:bookmarkEnd w:id="60"/>
      <w:r>
        <w:t xml:space="preserve">Diamond, A. (2013). Executive functions. </w:t>
      </w:r>
      <w:r>
        <w:rPr>
          <w:i/>
          <w:iCs/>
        </w:rPr>
        <w:t>Annual Review of Psychology</w:t>
      </w:r>
      <w:r>
        <w:t xml:space="preserve">, </w:t>
      </w:r>
      <w:r>
        <w:rPr>
          <w:i/>
          <w:iCs/>
        </w:rPr>
        <w:t>64</w:t>
      </w:r>
      <w:r>
        <w:t>(1), 135–168.</w:t>
      </w:r>
    </w:p>
    <w:p w14:paraId="5E978C3C" w14:textId="77777777" w:rsidR="00DA47B4" w:rsidRDefault="00000000">
      <w:pPr>
        <w:pStyle w:val="Literaturverzeichnis"/>
      </w:pPr>
      <w:bookmarkStart w:id="62" w:name="ref-donnelly2007visual"/>
      <w:bookmarkEnd w:id="61"/>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76EBBF06" w14:textId="77777777" w:rsidR="00DA47B4" w:rsidRDefault="00000000">
      <w:pPr>
        <w:pStyle w:val="Literaturverzeichnis"/>
      </w:pPr>
      <w:bookmarkStart w:id="63" w:name="ref-eckert2022does"/>
      <w:bookmarkEnd w:id="62"/>
      <w:r>
        <w:t xml:space="preserve">Eckert, J., Bohn, M., &amp; Spaethe, J. (2022). Does quantity matter to a stingless bee? </w:t>
      </w:r>
      <w:r>
        <w:rPr>
          <w:i/>
          <w:iCs/>
        </w:rPr>
        <w:t>Animal Cognition</w:t>
      </w:r>
      <w:r>
        <w:t xml:space="preserve">, </w:t>
      </w:r>
      <w:r>
        <w:rPr>
          <w:i/>
          <w:iCs/>
        </w:rPr>
        <w:t>25</w:t>
      </w:r>
      <w:r>
        <w:t>(3), 617–629.</w:t>
      </w:r>
    </w:p>
    <w:p w14:paraId="4D0C323B" w14:textId="77777777" w:rsidR="00DA47B4" w:rsidRDefault="00000000">
      <w:pPr>
        <w:pStyle w:val="Literaturverzeichnis"/>
      </w:pPr>
      <w:bookmarkStart w:id="64" w:name="ref-ferry2025bigger"/>
      <w:bookmarkEnd w:id="63"/>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67EFCE62" w14:textId="77777777" w:rsidR="00DA47B4" w:rsidRDefault="00000000">
      <w:pPr>
        <w:pStyle w:val="Literaturverzeichnis"/>
      </w:pPr>
      <w:bookmarkStart w:id="65" w:name="ref-flavell1981young"/>
      <w:bookmarkEnd w:id="64"/>
      <w:r>
        <w:lastRenderedPageBreak/>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75CD7458" w14:textId="77777777" w:rsidR="00DA47B4" w:rsidRDefault="00000000">
      <w:pPr>
        <w:pStyle w:val="Literaturverzeichnis"/>
      </w:pPr>
      <w:bookmarkStart w:id="66" w:name="ref-fort2018symbouki"/>
      <w:bookmarkEnd w:id="65"/>
      <w:r>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65F53FA4" w14:textId="77777777" w:rsidR="00DA47B4" w:rsidRPr="004C5DF6" w:rsidRDefault="00000000">
      <w:pPr>
        <w:pStyle w:val="Literaturverzeichnis"/>
        <w:rPr>
          <w:lang w:val="it-IT"/>
        </w:rPr>
      </w:pPr>
      <w:bookmarkStart w:id="67" w:name="ref-frausel2020origins"/>
      <w:bookmarkEnd w:id="66"/>
      <w:r>
        <w:t xml:space="preserve">Frausel, R. R., Silvey, C., Freeman, C., Dowling, N., Richland, L. E., Levine, S. C., … Goldin-Meadow, S. (2020). The origins of higher-order thinking lie in children’s spontaneous talk across the pre-school years. </w:t>
      </w:r>
      <w:proofErr w:type="spellStart"/>
      <w:r w:rsidRPr="004C5DF6">
        <w:rPr>
          <w:i/>
          <w:iCs/>
          <w:lang w:val="it-IT"/>
        </w:rPr>
        <w:t>Cognition</w:t>
      </w:r>
      <w:proofErr w:type="spellEnd"/>
      <w:r w:rsidRPr="004C5DF6">
        <w:rPr>
          <w:lang w:val="it-IT"/>
        </w:rPr>
        <w:t xml:space="preserve">, </w:t>
      </w:r>
      <w:r w:rsidRPr="004C5DF6">
        <w:rPr>
          <w:i/>
          <w:iCs/>
          <w:lang w:val="it-IT"/>
        </w:rPr>
        <w:t>200</w:t>
      </w:r>
      <w:r w:rsidRPr="004C5DF6">
        <w:rPr>
          <w:lang w:val="it-IT"/>
        </w:rPr>
        <w:t>, 104274.</w:t>
      </w:r>
    </w:p>
    <w:p w14:paraId="0C97512B" w14:textId="77777777" w:rsidR="00DA47B4" w:rsidRDefault="00000000">
      <w:pPr>
        <w:pStyle w:val="Literaturverzeichnis"/>
      </w:pPr>
      <w:bookmarkStart w:id="68" w:name="ref-ganea2008transfer"/>
      <w:bookmarkEnd w:id="67"/>
      <w:r w:rsidRPr="004C5DF6">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27">
        <w:r>
          <w:rPr>
            <w:rStyle w:val="Hyperlink"/>
          </w:rPr>
          <w:t>https://doi.org/10.1080/15248370701836592</w:t>
        </w:r>
      </w:hyperlink>
    </w:p>
    <w:p w14:paraId="2411A940" w14:textId="77777777" w:rsidR="00DA47B4" w:rsidRDefault="00000000">
      <w:pPr>
        <w:pStyle w:val="Literaturverzeichnis"/>
      </w:pPr>
      <w:bookmarkStart w:id="69" w:name="ref-gelman1998shape"/>
      <w:bookmarkEnd w:id="68"/>
      <w:r>
        <w:t xml:space="preserve">Gelman, S. A., &amp; Ebeling, K. S. (1998). Shape and representational status in children’s early naming. </w:t>
      </w:r>
      <w:r>
        <w:rPr>
          <w:i/>
          <w:iCs/>
        </w:rPr>
        <w:t>Cognition</w:t>
      </w:r>
      <w:r>
        <w:t xml:space="preserve">, </w:t>
      </w:r>
      <w:r>
        <w:rPr>
          <w:i/>
          <w:iCs/>
        </w:rPr>
        <w:t>66</w:t>
      </w:r>
      <w:r>
        <w:t>(2), B35–B47.</w:t>
      </w:r>
    </w:p>
    <w:p w14:paraId="5496D2CB" w14:textId="77777777" w:rsidR="00DA47B4" w:rsidRDefault="00000000">
      <w:pPr>
        <w:pStyle w:val="Literaturverzeichnis"/>
      </w:pPr>
      <w:bookmarkStart w:id="70" w:name="ref-gentner1977children"/>
      <w:bookmarkEnd w:id="69"/>
      <w:r>
        <w:t xml:space="preserve">Gentner, D. (1977). Children’s performance on a spatial analogies task. </w:t>
      </w:r>
      <w:r>
        <w:rPr>
          <w:i/>
          <w:iCs/>
        </w:rPr>
        <w:t>Child Development</w:t>
      </w:r>
      <w:r>
        <w:t>, 1034–1039.</w:t>
      </w:r>
    </w:p>
    <w:p w14:paraId="392187B8" w14:textId="77777777" w:rsidR="00DA47B4" w:rsidRDefault="00000000">
      <w:pPr>
        <w:pStyle w:val="Literaturverzeichnis"/>
      </w:pPr>
      <w:bookmarkStart w:id="71" w:name="ref-gentner2017analogy"/>
      <w:bookmarkEnd w:id="70"/>
      <w:r>
        <w:t xml:space="preserve">Gentner, D., &amp; Hoyos, C. (2017). Analogy and abstraction. </w:t>
      </w:r>
      <w:r>
        <w:rPr>
          <w:i/>
          <w:iCs/>
        </w:rPr>
        <w:t>Topics in Cognitive Science</w:t>
      </w:r>
      <w:r>
        <w:t xml:space="preserve">, </w:t>
      </w:r>
      <w:r>
        <w:rPr>
          <w:i/>
          <w:iCs/>
        </w:rPr>
        <w:t>9</w:t>
      </w:r>
      <w:r>
        <w:t>(3), 672–693.</w:t>
      </w:r>
    </w:p>
    <w:p w14:paraId="56606CBE" w14:textId="77777777" w:rsidR="00DA47B4" w:rsidRDefault="00000000">
      <w:pPr>
        <w:pStyle w:val="Literaturverzeichnis"/>
      </w:pPr>
      <w:bookmarkStart w:id="72" w:name="ref-gerhardstein2002development"/>
      <w:bookmarkEnd w:id="71"/>
      <w:proofErr w:type="spellStart"/>
      <w:r w:rsidRPr="004C5DF6">
        <w:rPr>
          <w:lang w:val="nl-NL"/>
        </w:rPr>
        <w:t>Gerhardstein</w:t>
      </w:r>
      <w:proofErr w:type="spellEnd"/>
      <w:r w:rsidRPr="004C5DF6">
        <w:rPr>
          <w:lang w:val="nl-NL"/>
        </w:rPr>
        <w:t xml:space="preserve">, P., &amp; </w:t>
      </w:r>
      <w:proofErr w:type="spellStart"/>
      <w:r w:rsidRPr="004C5DF6">
        <w:rPr>
          <w:lang w:val="nl-NL"/>
        </w:rPr>
        <w:t>Rovee</w:t>
      </w:r>
      <w:proofErr w:type="spellEnd"/>
      <w:r w:rsidRPr="004C5DF6">
        <w:rPr>
          <w:lang w:val="nl-NL"/>
        </w:rPr>
        <w:t xml:space="preserv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4C389921" w14:textId="77777777" w:rsidR="00DA47B4" w:rsidRDefault="00000000">
      <w:pPr>
        <w:pStyle w:val="Literaturverzeichnis"/>
      </w:pPr>
      <w:bookmarkStart w:id="73" w:name="ref-gick1980analogical"/>
      <w:bookmarkEnd w:id="72"/>
      <w:r>
        <w:lastRenderedPageBreak/>
        <w:t xml:space="preserve">Gick, M. L., &amp; Holyoak, K. J. (1980). Analogical problem solving. </w:t>
      </w:r>
      <w:r>
        <w:rPr>
          <w:i/>
          <w:iCs/>
        </w:rPr>
        <w:t>Cognitive Psychology</w:t>
      </w:r>
      <w:r>
        <w:t xml:space="preserve">, </w:t>
      </w:r>
      <w:r>
        <w:rPr>
          <w:i/>
          <w:iCs/>
        </w:rPr>
        <w:t>12</w:t>
      </w:r>
      <w:r>
        <w:t>(3), 306–355.</w:t>
      </w:r>
    </w:p>
    <w:p w14:paraId="3257543E" w14:textId="77777777" w:rsidR="00DA47B4" w:rsidRDefault="00000000">
      <w:pPr>
        <w:pStyle w:val="Literaturverzeichnis"/>
      </w:pPr>
      <w:bookmarkStart w:id="74" w:name="ref-goldin1977development"/>
      <w:bookmarkEnd w:id="73"/>
      <w:r>
        <w:t xml:space="preserve">Goldin-Meadow, S., &amp; Feldman, H. (1977). The development of language-like communication without a language model. </w:t>
      </w:r>
      <w:r>
        <w:rPr>
          <w:i/>
          <w:iCs/>
        </w:rPr>
        <w:t>Science</w:t>
      </w:r>
      <w:r>
        <w:t xml:space="preserve">, </w:t>
      </w:r>
      <w:r>
        <w:rPr>
          <w:i/>
          <w:iCs/>
        </w:rPr>
        <w:t>197</w:t>
      </w:r>
      <w:r>
        <w:t>(4301), 401–403.</w:t>
      </w:r>
    </w:p>
    <w:p w14:paraId="5B478C6A" w14:textId="77777777" w:rsidR="00DA47B4" w:rsidRDefault="00000000">
      <w:pPr>
        <w:pStyle w:val="Literaturverzeichnis"/>
      </w:pPr>
      <w:bookmarkStart w:id="75" w:name="ref-gopnik1988children"/>
      <w:bookmarkEnd w:id="74"/>
      <w:r>
        <w:t xml:space="preserve">Gopnik, A., &amp; Astington, J. (1988). Children’s understanding of representational change and its relation to the understanding of false belief and the appearance-reality distinction. </w:t>
      </w:r>
      <w:r>
        <w:rPr>
          <w:i/>
          <w:iCs/>
        </w:rPr>
        <w:t>Child Development</w:t>
      </w:r>
      <w:r>
        <w:t>, 26–37.</w:t>
      </w:r>
    </w:p>
    <w:p w14:paraId="62E299B2" w14:textId="77777777" w:rsidR="00DA47B4" w:rsidRDefault="00000000">
      <w:pPr>
        <w:pStyle w:val="Literaturverzeichnis"/>
      </w:pPr>
      <w:bookmarkStart w:id="76" w:name="ref-goswami1991analogical"/>
      <w:bookmarkEnd w:id="75"/>
      <w:r>
        <w:t xml:space="preserve">Goswami, U. (1991). Analogical reasoning: What develops? A review of research and theory. </w:t>
      </w:r>
      <w:r>
        <w:rPr>
          <w:i/>
          <w:iCs/>
        </w:rPr>
        <w:t>Child Development</w:t>
      </w:r>
      <w:r>
        <w:t xml:space="preserve">, </w:t>
      </w:r>
      <w:r>
        <w:rPr>
          <w:i/>
          <w:iCs/>
        </w:rPr>
        <w:t>62</w:t>
      </w:r>
      <w:r>
        <w:t>(1), 1–22.</w:t>
      </w:r>
    </w:p>
    <w:p w14:paraId="2A2F1DAD" w14:textId="77777777" w:rsidR="00DA47B4" w:rsidRDefault="00000000">
      <w:pPr>
        <w:pStyle w:val="Literaturverzeichnis"/>
      </w:pPr>
      <w:bookmarkStart w:id="77" w:name="ref-halford1998processing"/>
      <w:bookmarkEnd w:id="76"/>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6C9251C8" w14:textId="77777777" w:rsidR="00DA47B4" w:rsidRDefault="00000000">
      <w:pPr>
        <w:pStyle w:val="Literaturverzeichnis"/>
      </w:pPr>
      <w:bookmarkStart w:id="78" w:name="ref-haun2011conformity"/>
      <w:bookmarkEnd w:id="77"/>
      <w:r>
        <w:t xml:space="preserve">Haun, D. B., &amp; Tomasello, M. (2011). Conformity to peer pressure in preschool children. </w:t>
      </w:r>
      <w:r>
        <w:rPr>
          <w:i/>
          <w:iCs/>
        </w:rPr>
        <w:t>Child Development</w:t>
      </w:r>
      <w:r>
        <w:t xml:space="preserve">, </w:t>
      </w:r>
      <w:r>
        <w:rPr>
          <w:i/>
          <w:iCs/>
        </w:rPr>
        <w:t>82</w:t>
      </w:r>
      <w:r>
        <w:t>(6), 1759–1767.</w:t>
      </w:r>
    </w:p>
    <w:p w14:paraId="445860FD" w14:textId="77777777" w:rsidR="00DA47B4" w:rsidRDefault="00000000">
      <w:pPr>
        <w:pStyle w:val="Literaturverzeichnis"/>
      </w:pPr>
      <w:bookmarkStart w:id="79" w:name="ref-henrich2010weirdest"/>
      <w:bookmarkEnd w:id="78"/>
      <w:r>
        <w:t xml:space="preserve">Henrich, J., Heine, S. J., &amp; Norenzayan, A. (2010). The weirdest people in the world? </w:t>
      </w:r>
      <w:r>
        <w:rPr>
          <w:i/>
          <w:iCs/>
        </w:rPr>
        <w:t>Behavioral and Brain Sciences</w:t>
      </w:r>
      <w:r>
        <w:t xml:space="preserve">, </w:t>
      </w:r>
      <w:r>
        <w:rPr>
          <w:i/>
          <w:iCs/>
        </w:rPr>
        <w:t>33</w:t>
      </w:r>
      <w:r>
        <w:t>(2-3), 61–83.</w:t>
      </w:r>
    </w:p>
    <w:p w14:paraId="0D8DA327" w14:textId="77777777" w:rsidR="00DA47B4" w:rsidRDefault="00000000">
      <w:pPr>
        <w:pStyle w:val="Literaturverzeichnis"/>
      </w:pPr>
      <w:bookmarkStart w:id="80" w:name="ref-House2013ontogeny"/>
      <w:bookmarkEnd w:id="79"/>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0DB8CF76" w14:textId="77777777" w:rsidR="00DA47B4" w:rsidRDefault="00000000">
      <w:pPr>
        <w:pStyle w:val="Literaturverzeichnis"/>
      </w:pPr>
      <w:bookmarkStart w:id="81" w:name="ref-ifrah2000universal"/>
      <w:bookmarkEnd w:id="80"/>
      <w:r>
        <w:t xml:space="preserve">Ifrah, G. (2000). </w:t>
      </w:r>
      <w:r>
        <w:rPr>
          <w:i/>
          <w:iCs/>
        </w:rPr>
        <w:t>The universal history of numbers</w:t>
      </w:r>
      <w:r>
        <w:t>. Harvill London.</w:t>
      </w:r>
    </w:p>
    <w:p w14:paraId="05FB8F81" w14:textId="77777777" w:rsidR="00DA47B4" w:rsidRDefault="00000000">
      <w:pPr>
        <w:pStyle w:val="Literaturverzeichnis"/>
      </w:pPr>
      <w:bookmarkStart w:id="82" w:name="ref-imai2008sound"/>
      <w:bookmarkEnd w:id="81"/>
      <w:r>
        <w:lastRenderedPageBreak/>
        <w:t xml:space="preserve">Imai, M., Kita, S., Nagumo, M., &amp; Okada, H. (2008). Sound symbolism facilitates early verb learning. </w:t>
      </w:r>
      <w:r>
        <w:rPr>
          <w:i/>
          <w:iCs/>
        </w:rPr>
        <w:t>Cognition</w:t>
      </w:r>
      <w:r>
        <w:t xml:space="preserve">, </w:t>
      </w:r>
      <w:r>
        <w:rPr>
          <w:i/>
          <w:iCs/>
        </w:rPr>
        <w:t>109</w:t>
      </w:r>
      <w:r>
        <w:t>(1), 54–65.</w:t>
      </w:r>
    </w:p>
    <w:p w14:paraId="1EBCECBB" w14:textId="77777777" w:rsidR="00DA47B4" w:rsidRDefault="00000000">
      <w:pPr>
        <w:pStyle w:val="Literaturverzeichnis"/>
      </w:pPr>
      <w:bookmarkStart w:id="83" w:name="ref-jablonski2014inhibitory"/>
      <w:bookmarkEnd w:id="82"/>
      <w:r>
        <w:t xml:space="preserve">Jablonski, S. (2014). Inhibitory control and literacy development among 3-to 5-year-old children. </w:t>
      </w:r>
      <w:r>
        <w:rPr>
          <w:i/>
          <w:iCs/>
        </w:rPr>
        <w:t>L1-Educational Studies in Language and Literature</w:t>
      </w:r>
      <w:r>
        <w:t>, 1–25.</w:t>
      </w:r>
    </w:p>
    <w:p w14:paraId="50D2837F" w14:textId="77777777" w:rsidR="00DA47B4" w:rsidRDefault="00000000">
      <w:pPr>
        <w:pStyle w:val="Literaturverzeichnis"/>
      </w:pPr>
      <w:bookmarkStart w:id="84" w:name="ref-karmiloff1994beyond"/>
      <w:bookmarkEnd w:id="83"/>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370B7681" w14:textId="77777777" w:rsidR="00DA47B4" w:rsidRPr="004C5DF6" w:rsidRDefault="00000000">
      <w:pPr>
        <w:pStyle w:val="Literaturverzeichnis"/>
        <w:rPr>
          <w:lang w:val="it-IT"/>
        </w:rPr>
      </w:pPr>
      <w:bookmarkStart w:id="85" w:name="ref-kellman1983perception"/>
      <w:bookmarkEnd w:id="84"/>
      <w:r>
        <w:t xml:space="preserve">Kellman, P. J., &amp; Spelke, E. S. (1983). Perception of partly occluded objects in infancy. </w:t>
      </w:r>
      <w:r w:rsidRPr="004C5DF6">
        <w:rPr>
          <w:i/>
          <w:iCs/>
          <w:lang w:val="it-IT"/>
        </w:rPr>
        <w:t xml:space="preserve">Cognitive </w:t>
      </w:r>
      <w:proofErr w:type="spellStart"/>
      <w:r w:rsidRPr="004C5DF6">
        <w:rPr>
          <w:i/>
          <w:iCs/>
          <w:lang w:val="it-IT"/>
        </w:rPr>
        <w:t>Psychology</w:t>
      </w:r>
      <w:proofErr w:type="spellEnd"/>
      <w:r w:rsidRPr="004C5DF6">
        <w:rPr>
          <w:lang w:val="it-IT"/>
        </w:rPr>
        <w:t xml:space="preserve">, </w:t>
      </w:r>
      <w:r w:rsidRPr="004C5DF6">
        <w:rPr>
          <w:i/>
          <w:iCs/>
          <w:lang w:val="it-IT"/>
        </w:rPr>
        <w:t>15</w:t>
      </w:r>
      <w:r w:rsidRPr="004C5DF6">
        <w:rPr>
          <w:lang w:val="it-IT"/>
        </w:rPr>
        <w:t>(4), 483–524.</w:t>
      </w:r>
    </w:p>
    <w:p w14:paraId="4DCE04C2" w14:textId="77777777" w:rsidR="00DA47B4" w:rsidRDefault="00000000">
      <w:pPr>
        <w:pStyle w:val="Literaturverzeichnis"/>
      </w:pPr>
      <w:bookmarkStart w:id="86" w:name="ref-knoeferle2017drives"/>
      <w:bookmarkEnd w:id="85"/>
      <w:proofErr w:type="spellStart"/>
      <w:r w:rsidRPr="004C5DF6">
        <w:rPr>
          <w:lang w:val="it-IT"/>
        </w:rPr>
        <w:t>Knoeferle</w:t>
      </w:r>
      <w:proofErr w:type="spellEnd"/>
      <w:r w:rsidRPr="004C5DF6">
        <w:rPr>
          <w:lang w:val="it-IT"/>
        </w:rPr>
        <w:t xml:space="preserv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739974C5" w14:textId="77777777" w:rsidR="00DA47B4" w:rsidRDefault="00000000">
      <w:pPr>
        <w:pStyle w:val="Literaturverzeichnis"/>
      </w:pPr>
      <w:bookmarkStart w:id="87" w:name="ref-kroupin2022importance"/>
      <w:bookmarkEnd w:id="86"/>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612191CA" w14:textId="77777777" w:rsidR="00DA47B4" w:rsidRPr="004C5DF6" w:rsidRDefault="00000000">
      <w:pPr>
        <w:pStyle w:val="Literaturverzeichnis"/>
        <w:rPr>
          <w:lang w:val="de-DE"/>
        </w:rPr>
      </w:pPr>
      <w:bookmarkStart w:id="88" w:name="ref-kroupin2022you"/>
      <w:bookmarkEnd w:id="87"/>
      <w:r>
        <w:t xml:space="preserve">Kroupin, I. G., &amp; Carey, S. E. (2022b). You cannot find what you are not looking for: Population differences in relational reasoning are sometimes differences in inductive biases alone. </w:t>
      </w:r>
      <w:proofErr w:type="spellStart"/>
      <w:r w:rsidRPr="004C5DF6">
        <w:rPr>
          <w:i/>
          <w:iCs/>
          <w:lang w:val="de-DE"/>
        </w:rPr>
        <w:t>Cognition</w:t>
      </w:r>
      <w:proofErr w:type="spellEnd"/>
      <w:r w:rsidRPr="004C5DF6">
        <w:rPr>
          <w:lang w:val="de-DE"/>
        </w:rPr>
        <w:t xml:space="preserve">, </w:t>
      </w:r>
      <w:r w:rsidRPr="004C5DF6">
        <w:rPr>
          <w:i/>
          <w:iCs/>
          <w:lang w:val="de-DE"/>
        </w:rPr>
        <w:t>222</w:t>
      </w:r>
      <w:r w:rsidRPr="004C5DF6">
        <w:rPr>
          <w:lang w:val="de-DE"/>
        </w:rPr>
        <w:t>, 105007.</w:t>
      </w:r>
    </w:p>
    <w:p w14:paraId="5FE2E5B2" w14:textId="77777777" w:rsidR="00DA47B4" w:rsidRPr="004C5DF6" w:rsidRDefault="00000000">
      <w:pPr>
        <w:pStyle w:val="Literaturverzeichnis"/>
        <w:rPr>
          <w:lang w:val="de-DE"/>
        </w:rPr>
      </w:pPr>
      <w:bookmarkStart w:id="89" w:name="ref-kucharz2012elementarbildung"/>
      <w:bookmarkEnd w:id="88"/>
      <w:r w:rsidRPr="004C5DF6">
        <w:rPr>
          <w:lang w:val="de-DE"/>
        </w:rPr>
        <w:t xml:space="preserve">Kucharz, D. (2012). </w:t>
      </w:r>
      <w:r w:rsidRPr="004C5DF6">
        <w:rPr>
          <w:i/>
          <w:iCs/>
          <w:lang w:val="de-DE"/>
        </w:rPr>
        <w:t>Elementarbildung</w:t>
      </w:r>
      <w:r w:rsidRPr="004C5DF6">
        <w:rPr>
          <w:lang w:val="de-DE"/>
        </w:rPr>
        <w:t>. Weinheim, Basel: Beltz Verlag.</w:t>
      </w:r>
    </w:p>
    <w:p w14:paraId="1E92CC69" w14:textId="77777777" w:rsidR="00DA47B4" w:rsidRDefault="00000000">
      <w:pPr>
        <w:pStyle w:val="Literaturverzeichnis"/>
      </w:pPr>
      <w:bookmarkStart w:id="90" w:name="ref-landau1986early"/>
      <w:bookmarkEnd w:id="89"/>
      <w:r w:rsidRPr="004C5DF6">
        <w:rPr>
          <w:lang w:val="de-DE"/>
        </w:rPr>
        <w:t xml:space="preserve">Landau, B. (1986). </w:t>
      </w:r>
      <w:r>
        <w:t xml:space="preserve">Early map use as an unlearned ability. </w:t>
      </w:r>
      <w:r>
        <w:rPr>
          <w:i/>
          <w:iCs/>
        </w:rPr>
        <w:t>Cognition</w:t>
      </w:r>
      <w:r>
        <w:t xml:space="preserve">, </w:t>
      </w:r>
      <w:r>
        <w:rPr>
          <w:i/>
          <w:iCs/>
        </w:rPr>
        <w:t>22</w:t>
      </w:r>
      <w:r>
        <w:t>(3), 201–223.</w:t>
      </w:r>
    </w:p>
    <w:p w14:paraId="00B89D75" w14:textId="77777777" w:rsidR="00DA47B4" w:rsidRDefault="00000000">
      <w:pPr>
        <w:pStyle w:val="Literaturverzeichnis"/>
      </w:pPr>
      <w:bookmarkStart w:id="91" w:name="ref-liben2013role"/>
      <w:bookmarkEnd w:id="90"/>
      <w:r>
        <w:lastRenderedPageBreak/>
        <w:t xml:space="preserve">Liben, L. S., &amp; Downs, R. M. (2013). The role of graphic representations in understanding the world. In </w:t>
      </w:r>
      <w:r>
        <w:rPr>
          <w:i/>
          <w:iCs/>
        </w:rPr>
        <w:t>Visions of aesthetics, the environment &amp; development</w:t>
      </w:r>
      <w:r>
        <w:t xml:space="preserve"> (pp. 139–180). Psychology Press.</w:t>
      </w:r>
    </w:p>
    <w:p w14:paraId="457D45A7" w14:textId="77777777" w:rsidR="00DA47B4" w:rsidRDefault="00000000">
      <w:pPr>
        <w:pStyle w:val="Literaturverzeichnis"/>
      </w:pPr>
      <w:bookmarkStart w:id="92" w:name="ref-long2019real"/>
      <w:bookmarkEnd w:id="91"/>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71E601B1" w14:textId="77777777" w:rsidR="00DA47B4" w:rsidRDefault="00000000">
      <w:pPr>
        <w:pStyle w:val="Literaturverzeichnis"/>
      </w:pPr>
      <w:bookmarkStart w:id="93" w:name="ref-luquet2001children"/>
      <w:bookmarkEnd w:id="92"/>
      <w:r>
        <w:t xml:space="preserve">Luquet, G.-H., &amp; Costall, A. T. (2001). </w:t>
      </w:r>
      <w:r>
        <w:rPr>
          <w:i/>
          <w:iCs/>
        </w:rPr>
        <w:t>Children’s drawings (le dessin enfantin).</w:t>
      </w:r>
      <w:r>
        <w:t xml:space="preserve"> International Specialized Book Services.</w:t>
      </w:r>
    </w:p>
    <w:p w14:paraId="1FDBC96E" w14:textId="77777777" w:rsidR="00DA47B4" w:rsidRDefault="00000000">
      <w:pPr>
        <w:pStyle w:val="Literaturverzeichnis"/>
      </w:pPr>
      <w:bookmarkStart w:id="94" w:name="ref-margiotoudi2020action"/>
      <w:bookmarkEnd w:id="93"/>
      <w:r>
        <w:t xml:space="preserve">Margiotoudi, K., &amp; Pulvermüller, F. (2020). Action sound–shape congruencies explain sound symbolism. </w:t>
      </w:r>
      <w:r>
        <w:rPr>
          <w:i/>
          <w:iCs/>
        </w:rPr>
        <w:t>Scientific Reports</w:t>
      </w:r>
      <w:r>
        <w:t xml:space="preserve">, </w:t>
      </w:r>
      <w:r>
        <w:rPr>
          <w:i/>
          <w:iCs/>
        </w:rPr>
        <w:t>10</w:t>
      </w:r>
      <w:r>
        <w:t>(1), 12706.</w:t>
      </w:r>
    </w:p>
    <w:p w14:paraId="4DCB4A9D" w14:textId="77777777" w:rsidR="00DA47B4" w:rsidRDefault="00000000">
      <w:pPr>
        <w:pStyle w:val="Literaturverzeichnis"/>
      </w:pPr>
      <w:bookmarkStart w:id="95" w:name="ref-maurer2006shape"/>
      <w:bookmarkEnd w:id="94"/>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0AFA5815" w14:textId="77777777" w:rsidR="00DA47B4" w:rsidRDefault="00000000">
      <w:pPr>
        <w:pStyle w:val="Literaturverzeichnis"/>
      </w:pPr>
      <w:bookmarkStart w:id="96" w:name="ref-mcelreath2018statistical"/>
      <w:bookmarkEnd w:id="95"/>
      <w:r>
        <w:t xml:space="preserve">McElreath, R. (2018). </w:t>
      </w:r>
      <w:r>
        <w:rPr>
          <w:i/>
          <w:iCs/>
        </w:rPr>
        <w:t>Statistical rethinking: A bayesian course with examples in r and stan</w:t>
      </w:r>
      <w:r>
        <w:t>. Chapman; Hall/CRC.</w:t>
      </w:r>
    </w:p>
    <w:p w14:paraId="4111D873" w14:textId="77777777" w:rsidR="00DA47B4" w:rsidRDefault="00000000">
      <w:pPr>
        <w:pStyle w:val="Literaturverzeichnis"/>
      </w:pPr>
      <w:bookmarkStart w:id="97" w:name="ref-mix2002quantitative"/>
      <w:bookmarkEnd w:id="96"/>
      <w:r>
        <w:t xml:space="preserve">Mix, K. S., Huttenlocher, J., &amp; Levine, S. C. (2002). </w:t>
      </w:r>
      <w:r>
        <w:rPr>
          <w:i/>
          <w:iCs/>
        </w:rPr>
        <w:t>Quantitative development in infancy and early childhood</w:t>
      </w:r>
      <w:r>
        <w:t>. Oxford University Press.</w:t>
      </w:r>
    </w:p>
    <w:p w14:paraId="64A97DCE" w14:textId="77777777" w:rsidR="00DA47B4" w:rsidRPr="004C5DF6" w:rsidRDefault="00000000">
      <w:pPr>
        <w:pStyle w:val="Literaturverzeichnis"/>
        <w:rPr>
          <w:lang w:val="fr-FR"/>
        </w:rPr>
      </w:pPr>
      <w:bookmarkStart w:id="98" w:name="ref-moore2013three"/>
      <w:bookmarkEnd w:id="97"/>
      <w:r>
        <w:t xml:space="preserve">Moore, R., Liebal, K., &amp; Tomasello, M. (2013). Three-year-olds understand communicative intentions without language, gestures, or gaze. </w:t>
      </w:r>
      <w:r w:rsidRPr="004C5DF6">
        <w:rPr>
          <w:i/>
          <w:iCs/>
          <w:lang w:val="fr-FR"/>
        </w:rPr>
        <w:t xml:space="preserve">Interaction </w:t>
      </w:r>
      <w:proofErr w:type="spellStart"/>
      <w:r w:rsidRPr="004C5DF6">
        <w:rPr>
          <w:i/>
          <w:iCs/>
          <w:lang w:val="fr-FR"/>
        </w:rPr>
        <w:t>Studies</w:t>
      </w:r>
      <w:proofErr w:type="spellEnd"/>
      <w:r w:rsidRPr="004C5DF6">
        <w:rPr>
          <w:lang w:val="fr-FR"/>
        </w:rPr>
        <w:t xml:space="preserve">, </w:t>
      </w:r>
      <w:r w:rsidRPr="004C5DF6">
        <w:rPr>
          <w:i/>
          <w:iCs/>
          <w:lang w:val="fr-FR"/>
        </w:rPr>
        <w:t>14</w:t>
      </w:r>
      <w:r w:rsidRPr="004C5DF6">
        <w:rPr>
          <w:lang w:val="fr-FR"/>
        </w:rPr>
        <w:t>(1), 62–80.</w:t>
      </w:r>
    </w:p>
    <w:p w14:paraId="554C335B" w14:textId="77777777" w:rsidR="00DA47B4" w:rsidRDefault="00000000">
      <w:pPr>
        <w:pStyle w:val="Literaturverzeichnis"/>
      </w:pPr>
      <w:bookmarkStart w:id="99" w:name="ref-nolle2020language"/>
      <w:bookmarkEnd w:id="98"/>
      <w:proofErr w:type="spellStart"/>
      <w:r w:rsidRPr="004C5DF6">
        <w:rPr>
          <w:lang w:val="fr-FR"/>
        </w:rPr>
        <w:t>Nölle</w:t>
      </w:r>
      <w:proofErr w:type="spellEnd"/>
      <w:r w:rsidRPr="004C5DF6">
        <w:rPr>
          <w:lang w:val="fr-FR"/>
        </w:rPr>
        <w:t xml:space="preserve">, J., </w:t>
      </w:r>
      <w:proofErr w:type="spellStart"/>
      <w:r w:rsidRPr="004C5DF6">
        <w:rPr>
          <w:lang w:val="fr-FR"/>
        </w:rPr>
        <w:t>Fusaroli</w:t>
      </w:r>
      <w:proofErr w:type="spellEnd"/>
      <w:r w:rsidRPr="004C5DF6">
        <w:rPr>
          <w:lang w:val="fr-FR"/>
        </w:rPr>
        <w:t xml:space="preserve">, R., Mills, G. J., &amp; </w:t>
      </w:r>
      <w:proofErr w:type="spellStart"/>
      <w:r w:rsidRPr="004C5DF6">
        <w:rPr>
          <w:lang w:val="fr-FR"/>
        </w:rPr>
        <w:t>Tylén</w:t>
      </w:r>
      <w:proofErr w:type="spellEnd"/>
      <w:r w:rsidRPr="004C5DF6">
        <w:rPr>
          <w:lang w:val="fr-FR"/>
        </w:rPr>
        <w:t xml:space="preserve">, K. (2020). </w:t>
      </w:r>
      <w:r>
        <w:t xml:space="preserve">Language as shaped by the environment: Linguistic construal in a collaborative spatial task. </w:t>
      </w:r>
      <w:r>
        <w:rPr>
          <w:i/>
          <w:iCs/>
        </w:rPr>
        <w:t>Palgrave Communications</w:t>
      </w:r>
      <w:r>
        <w:t xml:space="preserve">, </w:t>
      </w:r>
      <w:r>
        <w:rPr>
          <w:i/>
          <w:iCs/>
        </w:rPr>
        <w:t>6</w:t>
      </w:r>
      <w:r>
        <w:t>(1), 1–10.</w:t>
      </w:r>
    </w:p>
    <w:p w14:paraId="675B1CFF" w14:textId="77777777" w:rsidR="00DA47B4" w:rsidRDefault="00000000">
      <w:pPr>
        <w:pStyle w:val="Literaturverzeichnis"/>
      </w:pPr>
      <w:bookmarkStart w:id="100" w:name="ref-olson1994world"/>
      <w:bookmarkEnd w:id="99"/>
      <w:r>
        <w:lastRenderedPageBreak/>
        <w:t xml:space="preserve">Olson, D. R. (1994). </w:t>
      </w:r>
      <w:r>
        <w:rPr>
          <w:i/>
          <w:iCs/>
        </w:rPr>
        <w:t>The world on paper: The conceptual and cognitive implications of writing and reading</w:t>
      </w:r>
      <w:r>
        <w:t>. Cambridge University Press.</w:t>
      </w:r>
    </w:p>
    <w:p w14:paraId="2D7454E7" w14:textId="77777777" w:rsidR="00DA47B4" w:rsidRDefault="00000000">
      <w:pPr>
        <w:pStyle w:val="Literaturverzeichnis"/>
      </w:pPr>
      <w:bookmarkStart w:id="101" w:name="ref-piaget1997mental"/>
      <w:bookmarkEnd w:id="100"/>
      <w:r>
        <w:t xml:space="preserve">Piaget, J., Inhelder, B., &amp; Bovet, M. (1997). </w:t>
      </w:r>
      <w:r>
        <w:rPr>
          <w:i/>
          <w:iCs/>
        </w:rPr>
        <w:t>Mental imagery in the child: A study of the development of imaginal representation</w:t>
      </w:r>
      <w:r>
        <w:t xml:space="preserve">. Routledge. Retrieved from </w:t>
      </w:r>
      <w:hyperlink r:id="rId28">
        <w:r>
          <w:rPr>
            <w:rStyle w:val="Hyperlink"/>
          </w:rPr>
          <w:t>https://books.google.de/books?id=BXrHqqUYu0QC</w:t>
        </w:r>
      </w:hyperlink>
    </w:p>
    <w:p w14:paraId="62E9FBD5" w14:textId="77777777" w:rsidR="00DA47B4" w:rsidRDefault="00000000">
      <w:pPr>
        <w:pStyle w:val="Literaturverzeichnis"/>
      </w:pPr>
      <w:bookmarkStart w:id="102" w:name="ref-pierroutsakos2003infants"/>
      <w:bookmarkEnd w:id="101"/>
      <w:r>
        <w:t xml:space="preserve">Pierroutsakos, S. L., &amp; DeLoache, J. S. (2003). Infants’ manual exploration of pictorial objects varying in realism. </w:t>
      </w:r>
      <w:r>
        <w:rPr>
          <w:i/>
          <w:iCs/>
        </w:rPr>
        <w:t>Infancy</w:t>
      </w:r>
      <w:r>
        <w:t xml:space="preserve">, </w:t>
      </w:r>
      <w:r>
        <w:rPr>
          <w:i/>
          <w:iCs/>
        </w:rPr>
        <w:t>4</w:t>
      </w:r>
      <w:r>
        <w:t>(1), 141–156.</w:t>
      </w:r>
    </w:p>
    <w:p w14:paraId="456EF305" w14:textId="77777777" w:rsidR="00DA47B4" w:rsidRDefault="00000000">
      <w:pPr>
        <w:pStyle w:val="Literaturverzeichnis"/>
      </w:pPr>
      <w:bookmarkStart w:id="103" w:name="ref-rakoczy2022foundations"/>
      <w:bookmarkEnd w:id="102"/>
      <w:r>
        <w:t xml:space="preserve">Rakoczy, H. (2022). Foundations of theory of mind and its development in early childhood. </w:t>
      </w:r>
      <w:r>
        <w:rPr>
          <w:i/>
          <w:iCs/>
        </w:rPr>
        <w:t>Nature Reviews Psychology</w:t>
      </w:r>
      <w:r>
        <w:t xml:space="preserve">, </w:t>
      </w:r>
      <w:r>
        <w:rPr>
          <w:i/>
          <w:iCs/>
        </w:rPr>
        <w:t>1</w:t>
      </w:r>
      <w:r>
        <w:t>(4), 223–235.</w:t>
      </w:r>
    </w:p>
    <w:p w14:paraId="4C6DDC16" w14:textId="77777777" w:rsidR="00DA47B4" w:rsidRDefault="00000000">
      <w:pPr>
        <w:pStyle w:val="Literaturverzeichnis"/>
      </w:pPr>
      <w:bookmarkStart w:id="104" w:name="ref-rattermann1998more"/>
      <w:bookmarkEnd w:id="103"/>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2DA10698" w14:textId="77777777" w:rsidR="00DA47B4" w:rsidRDefault="00000000">
      <w:pPr>
        <w:pStyle w:val="Literaturverzeichnis"/>
      </w:pPr>
      <w:bookmarkStart w:id="105" w:name="ref-raviv2018systematicity"/>
      <w:bookmarkEnd w:id="104"/>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1586BD74" w14:textId="77777777" w:rsidR="00DA47B4" w:rsidRDefault="00000000">
      <w:pPr>
        <w:pStyle w:val="Literaturverzeichnis"/>
      </w:pPr>
      <w:bookmarkStart w:id="106" w:name="ref-reilly2022developmental"/>
      <w:bookmarkEnd w:id="105"/>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6D1EC283" w14:textId="77777777" w:rsidR="00DA47B4" w:rsidRDefault="00000000">
      <w:pPr>
        <w:pStyle w:val="Literaturverzeichnis"/>
      </w:pPr>
      <w:bookmarkStart w:id="107" w:name="ref-richland2006children"/>
      <w:bookmarkEnd w:id="106"/>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5018FE58" w14:textId="77777777" w:rsidR="00DA47B4" w:rsidRDefault="00000000">
      <w:pPr>
        <w:pStyle w:val="Literaturverzeichnis"/>
      </w:pPr>
      <w:bookmarkStart w:id="108" w:name="ref-schmidt2021fruhpadagogische"/>
      <w:bookmarkEnd w:id="107"/>
      <w:r>
        <w:lastRenderedPageBreak/>
        <w:t xml:space="preserve">Schmidt, T., Sauerbrey, U., &amp; Smidt, W. (2021). </w:t>
      </w:r>
      <w:r w:rsidRPr="004C5DF6">
        <w:rPr>
          <w:i/>
          <w:iCs/>
          <w:lang w:val="de-DE"/>
        </w:rPr>
        <w:t xml:space="preserve">Frühpädagogische </w:t>
      </w:r>
      <w:proofErr w:type="spellStart"/>
      <w:r w:rsidRPr="004C5DF6">
        <w:rPr>
          <w:i/>
          <w:iCs/>
          <w:lang w:val="de-DE"/>
        </w:rPr>
        <w:t>handlungskonzepte</w:t>
      </w:r>
      <w:proofErr w:type="spellEnd"/>
      <w:r w:rsidRPr="004C5DF6">
        <w:rPr>
          <w:i/>
          <w:iCs/>
          <w:lang w:val="de-DE"/>
        </w:rPr>
        <w:t xml:space="preserve">: Eine wissenschaftliche </w:t>
      </w:r>
      <w:proofErr w:type="spellStart"/>
      <w:r w:rsidRPr="004C5DF6">
        <w:rPr>
          <w:i/>
          <w:iCs/>
          <w:lang w:val="de-DE"/>
        </w:rPr>
        <w:t>bestandsaufnahme</w:t>
      </w:r>
      <w:proofErr w:type="spellEnd"/>
      <w:r w:rsidRPr="004C5DF6">
        <w:rPr>
          <w:lang w:val="de-DE"/>
        </w:rPr>
        <w:t xml:space="preserve">. </w:t>
      </w:r>
      <w:r>
        <w:t>UTB.</w:t>
      </w:r>
    </w:p>
    <w:p w14:paraId="69E25F64" w14:textId="77777777" w:rsidR="00DA47B4" w:rsidRDefault="00000000">
      <w:pPr>
        <w:pStyle w:val="Literaturverzeichnis"/>
      </w:pPr>
      <w:bookmarkStart w:id="109" w:name="ref-shivaram2023children"/>
      <w:bookmarkEnd w:id="108"/>
      <w:r>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2C726EF9" w14:textId="77777777" w:rsidR="00DA47B4" w:rsidRDefault="00000000">
      <w:pPr>
        <w:pStyle w:val="Literaturverzeichnis"/>
      </w:pPr>
      <w:bookmarkStart w:id="110" w:name="ref-shusterman2008young"/>
      <w:bookmarkEnd w:id="109"/>
      <w:proofErr w:type="spellStart"/>
      <w:r w:rsidRPr="004C5DF6">
        <w:rPr>
          <w:lang w:val="nl-NL"/>
        </w:rPr>
        <w:t>Shusterman</w:t>
      </w:r>
      <w:proofErr w:type="spellEnd"/>
      <w:r w:rsidRPr="004C5DF6">
        <w:rPr>
          <w:lang w:val="nl-NL"/>
        </w:rPr>
        <w:t xml:space="preserve">, A., Ah Lee, S., &amp; </w:t>
      </w:r>
      <w:proofErr w:type="spellStart"/>
      <w:r w:rsidRPr="004C5DF6">
        <w:rPr>
          <w:lang w:val="nl-NL"/>
        </w:rPr>
        <w:t>Spelke</w:t>
      </w:r>
      <w:proofErr w:type="spellEnd"/>
      <w:r w:rsidRPr="004C5DF6">
        <w:rPr>
          <w:lang w:val="nl-NL"/>
        </w:rPr>
        <w:t xml:space="preserve">, E. S. (2008). </w:t>
      </w:r>
      <w:r>
        <w:t xml:space="preserve">Young children’s spontaneous use of geometry in maps. </w:t>
      </w:r>
      <w:r>
        <w:rPr>
          <w:i/>
          <w:iCs/>
        </w:rPr>
        <w:t>Developmental Science</w:t>
      </w:r>
      <w:r>
        <w:t xml:space="preserve">, </w:t>
      </w:r>
      <w:r>
        <w:rPr>
          <w:i/>
          <w:iCs/>
        </w:rPr>
        <w:t>11</w:t>
      </w:r>
      <w:r>
        <w:t>(2), F1–F7.</w:t>
      </w:r>
    </w:p>
    <w:p w14:paraId="3D1812A9" w14:textId="77777777" w:rsidR="00DA47B4" w:rsidRDefault="00000000">
      <w:pPr>
        <w:pStyle w:val="Literaturverzeichnis"/>
      </w:pPr>
      <w:bookmarkStart w:id="111" w:name="ref-sidhu2025sound"/>
      <w:bookmarkEnd w:id="110"/>
      <w:r>
        <w:t xml:space="preserve">Sidhu, D. M. (2025). Sound symbolism in the lexicon: A review of iconic-systematicity. </w:t>
      </w:r>
      <w:r>
        <w:rPr>
          <w:i/>
          <w:iCs/>
        </w:rPr>
        <w:t>Language and Linguistics Compass</w:t>
      </w:r>
      <w:r>
        <w:t xml:space="preserve">, </w:t>
      </w:r>
      <w:r>
        <w:rPr>
          <w:i/>
          <w:iCs/>
        </w:rPr>
        <w:t>19</w:t>
      </w:r>
      <w:r>
        <w:t>(1), e70006.</w:t>
      </w:r>
    </w:p>
    <w:p w14:paraId="5F90ACD1" w14:textId="77777777" w:rsidR="00DA47B4" w:rsidRDefault="00000000">
      <w:pPr>
        <w:pStyle w:val="Literaturverzeichnis"/>
      </w:pPr>
      <w:bookmarkStart w:id="112" w:name="ref-silver2022environmental"/>
      <w:bookmarkEnd w:id="111"/>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4C42BC72" w14:textId="77777777" w:rsidR="00DA47B4" w:rsidRDefault="00000000">
      <w:pPr>
        <w:pStyle w:val="Literaturverzeichnis"/>
      </w:pPr>
      <w:bookmarkStart w:id="113" w:name="ref-simms2018working"/>
      <w:bookmarkEnd w:id="112"/>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3744382F" w14:textId="77777777" w:rsidR="00DA47B4" w:rsidRDefault="00000000">
      <w:pPr>
        <w:pStyle w:val="Literaturverzeichnis"/>
      </w:pPr>
      <w:bookmarkStart w:id="114" w:name="ref-sivula2020uncertainty"/>
      <w:bookmarkEnd w:id="113"/>
      <w:r>
        <w:t xml:space="preserve">Sivula, T., Magnusson, M., Matamoros, A. A., &amp; Vehtari, A. (2020). Uncertainty in bayesian leave-one-out cross-validation based model comparison. </w:t>
      </w:r>
      <w:r>
        <w:rPr>
          <w:i/>
          <w:iCs/>
        </w:rPr>
        <w:t>arXiv Preprint arXiv:2008.10296</w:t>
      </w:r>
      <w:r>
        <w:t>.</w:t>
      </w:r>
    </w:p>
    <w:p w14:paraId="4F2C2396" w14:textId="77777777" w:rsidR="00DA47B4" w:rsidRDefault="00000000">
      <w:pPr>
        <w:pStyle w:val="Literaturverzeichnis"/>
      </w:pPr>
      <w:bookmarkStart w:id="115" w:name="ref-RStan"/>
      <w:bookmarkEnd w:id="114"/>
      <w:r>
        <w:t xml:space="preserve">Stan Development Team. (n.d.). </w:t>
      </w:r>
      <w:r>
        <w:rPr>
          <w:i/>
          <w:iCs/>
        </w:rPr>
        <w:t>RStan: The R interface to Stan</w:t>
      </w:r>
      <w:r>
        <w:t xml:space="preserve">. Retrieved from </w:t>
      </w:r>
      <w:hyperlink r:id="rId29">
        <w:r>
          <w:rPr>
            <w:rStyle w:val="Hyperlink"/>
          </w:rPr>
          <w:t>https://mc-stan.org/</w:t>
        </w:r>
      </w:hyperlink>
    </w:p>
    <w:p w14:paraId="6B5E1A64" w14:textId="77777777" w:rsidR="00DA47B4" w:rsidRDefault="00000000">
      <w:pPr>
        <w:pStyle w:val="Literaturverzeichnis"/>
      </w:pPr>
      <w:bookmarkStart w:id="116" w:name="ref-starr2013number"/>
      <w:bookmarkEnd w:id="115"/>
      <w:r w:rsidRPr="004C5DF6">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1427538F" w14:textId="77777777" w:rsidR="00DA47B4" w:rsidRDefault="00000000">
      <w:pPr>
        <w:pStyle w:val="Literaturverzeichnis"/>
      </w:pPr>
      <w:bookmarkStart w:id="117" w:name="ref-stevenson2014visual"/>
      <w:bookmarkEnd w:id="116"/>
      <w:r>
        <w:lastRenderedPageBreak/>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43BD57B6" w14:textId="77777777" w:rsidR="00DA47B4" w:rsidRDefault="00000000">
      <w:pPr>
        <w:pStyle w:val="Literaturverzeichnis"/>
      </w:pPr>
      <w:bookmarkStart w:id="118" w:name="ref-thibaut2010development"/>
      <w:bookmarkEnd w:id="117"/>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51DAB4E3" w14:textId="77777777" w:rsidR="00DA47B4" w:rsidRDefault="00000000">
      <w:pPr>
        <w:pStyle w:val="Literaturverzeichnis"/>
      </w:pPr>
      <w:bookmarkStart w:id="119" w:name="ref-Tomasello2014natural"/>
      <w:bookmarkEnd w:id="118"/>
      <w:r>
        <w:t xml:space="preserve">Tomasello, M. (2014). </w:t>
      </w:r>
      <w:r>
        <w:rPr>
          <w:i/>
          <w:iCs/>
        </w:rPr>
        <w:t>A natural history of human thinking</w:t>
      </w:r>
      <w:r>
        <w:t>. Cambridge, Massachusetts; London, England: Harvard University Press.</w:t>
      </w:r>
    </w:p>
    <w:p w14:paraId="4E5A4527" w14:textId="77777777" w:rsidR="00DA47B4" w:rsidRDefault="00000000">
      <w:pPr>
        <w:pStyle w:val="Literaturverzeichnis"/>
      </w:pPr>
      <w:bookmarkStart w:id="120" w:name="ref-uttal1989young"/>
      <w:bookmarkEnd w:id="119"/>
      <w:r>
        <w:t xml:space="preserve">Uttal, D. H., &amp; Wellman, H. M. (1989). Young children’s representation of spatial information acquired from maps. </w:t>
      </w:r>
      <w:r>
        <w:rPr>
          <w:i/>
          <w:iCs/>
        </w:rPr>
        <w:t>Developmental Psychology</w:t>
      </w:r>
      <w:r>
        <w:t xml:space="preserve">, </w:t>
      </w:r>
      <w:r>
        <w:rPr>
          <w:i/>
          <w:iCs/>
        </w:rPr>
        <w:t>25</w:t>
      </w:r>
      <w:r>
        <w:t>(1), 128.</w:t>
      </w:r>
    </w:p>
    <w:p w14:paraId="781BB717" w14:textId="77777777" w:rsidR="00DA47B4" w:rsidRDefault="00000000">
      <w:pPr>
        <w:pStyle w:val="Literaturverzeichnis"/>
      </w:pPr>
      <w:bookmarkStart w:id="121" w:name="ref-valenza2006perceptual"/>
      <w:bookmarkEnd w:id="120"/>
      <w:r>
        <w:t xml:space="preserve">Valenza, E., Leo, I., Gava, L., &amp; Simion, F. (2006). Perceptual completion in newborn human infants. </w:t>
      </w:r>
      <w:r>
        <w:rPr>
          <w:i/>
          <w:iCs/>
        </w:rPr>
        <w:t>Child Development</w:t>
      </w:r>
      <w:r>
        <w:t xml:space="preserve">, </w:t>
      </w:r>
      <w:r>
        <w:rPr>
          <w:i/>
          <w:iCs/>
        </w:rPr>
        <w:t>77</w:t>
      </w:r>
      <w:r>
        <w:t>(6), 1810–1821.</w:t>
      </w:r>
    </w:p>
    <w:p w14:paraId="5A4BE9F6" w14:textId="77777777" w:rsidR="00DA47B4" w:rsidRDefault="00000000">
      <w:pPr>
        <w:pStyle w:val="Literaturverzeichnis"/>
      </w:pPr>
      <w:bookmarkStart w:id="122" w:name="ref-verdine2017shape"/>
      <w:bookmarkEnd w:id="121"/>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2D5B5EE8" w14:textId="77777777" w:rsidR="00DA47B4" w:rsidRDefault="00000000">
      <w:pPr>
        <w:pStyle w:val="Literaturverzeichnis"/>
      </w:pPr>
      <w:bookmarkStart w:id="123" w:name="ref-verdine2016shape"/>
      <w:bookmarkEnd w:id="122"/>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2554AA46" w14:textId="77777777" w:rsidR="00DA47B4" w:rsidRDefault="00000000">
      <w:pPr>
        <w:pStyle w:val="Literaturverzeichnis"/>
      </w:pPr>
      <w:bookmarkStart w:id="124" w:name="ref-Vygotsky1980mind"/>
      <w:bookmarkEnd w:id="123"/>
      <w:r>
        <w:t xml:space="preserve">Vygotsky, L. S. (1980). </w:t>
      </w:r>
      <w:r>
        <w:rPr>
          <w:i/>
          <w:iCs/>
        </w:rPr>
        <w:t>Mind in society: The development of higher psychological processes</w:t>
      </w:r>
      <w:r>
        <w:t>. Cambridge, MA: Harvard University Press.</w:t>
      </w:r>
    </w:p>
    <w:p w14:paraId="3C14F78D" w14:textId="77777777" w:rsidR="00DA47B4" w:rsidRDefault="00000000">
      <w:pPr>
        <w:pStyle w:val="Literaturverzeichnis"/>
      </w:pPr>
      <w:bookmarkStart w:id="125" w:name="ref-wellman2001meta"/>
      <w:bookmarkEnd w:id="124"/>
      <w:r>
        <w:lastRenderedPageBreak/>
        <w:t xml:space="preserve">Wellman, H., Cross, D., &amp; Watson, J. (2001). Meta-analysis of theory-of-mind development: The truth about false belief. </w:t>
      </w:r>
      <w:r>
        <w:rPr>
          <w:i/>
          <w:iCs/>
        </w:rPr>
        <w:t>Child Development</w:t>
      </w:r>
      <w:r>
        <w:t xml:space="preserve">, </w:t>
      </w:r>
      <w:r>
        <w:rPr>
          <w:i/>
          <w:iCs/>
        </w:rPr>
        <w:t>72</w:t>
      </w:r>
      <w:r>
        <w:t>(3), 655–684.</w:t>
      </w:r>
    </w:p>
    <w:p w14:paraId="0B69B7F0" w14:textId="77777777" w:rsidR="00DA47B4" w:rsidRDefault="00000000">
      <w:pPr>
        <w:pStyle w:val="Literaturverzeichnis"/>
      </w:pPr>
      <w:bookmarkStart w:id="126" w:name="ref-winter2026defining"/>
      <w:bookmarkEnd w:id="125"/>
      <w:r>
        <w:t xml:space="preserve">Winter, B., Woodin, G., &amp; Perlman, M. (2026). Defining iconicity for the cognitive sciences. In </w:t>
      </w:r>
      <w:r>
        <w:rPr>
          <w:i/>
          <w:iCs/>
        </w:rPr>
        <w:t>The oxford handbook of iconicity in language</w:t>
      </w:r>
      <w:r>
        <w:t xml:space="preserve">. Oxford University Press. </w:t>
      </w:r>
      <w:hyperlink r:id="rId30">
        <w:r>
          <w:rPr>
            <w:rStyle w:val="Hyperlink"/>
          </w:rPr>
          <w:t>https://doi.org/10.1093/oxfordhb/9780192849489.013.0012</w:t>
        </w:r>
      </w:hyperlink>
    </w:p>
    <w:p w14:paraId="71C23240" w14:textId="77777777" w:rsidR="00DA47B4" w:rsidRDefault="00000000">
      <w:pPr>
        <w:pStyle w:val="Literaturverzeichnis"/>
      </w:pPr>
      <w:bookmarkStart w:id="127" w:name="ref-wynn1990children"/>
      <w:bookmarkEnd w:id="126"/>
      <w:r>
        <w:t xml:space="preserve">Wynn, K. (1990). Children’s understanding of counting. </w:t>
      </w:r>
      <w:r>
        <w:rPr>
          <w:i/>
          <w:iCs/>
        </w:rPr>
        <w:t>Cognition</w:t>
      </w:r>
      <w:r>
        <w:t xml:space="preserve">, </w:t>
      </w:r>
      <w:r>
        <w:rPr>
          <w:i/>
          <w:iCs/>
        </w:rPr>
        <w:t>36</w:t>
      </w:r>
      <w:r>
        <w:t>(2), 155–193.</w:t>
      </w:r>
    </w:p>
    <w:p w14:paraId="420EA6B4" w14:textId="77777777" w:rsidR="00DA47B4" w:rsidRDefault="00000000">
      <w:pPr>
        <w:pStyle w:val="Literaturverzeichnis"/>
      </w:pPr>
      <w:bookmarkStart w:id="128" w:name="ref-xu2007number"/>
      <w:bookmarkEnd w:id="127"/>
      <w:r>
        <w:t xml:space="preserve">Xu, F., &amp; Arriaga, R. I. (2007). Number discrimination in 10-month-old infants. </w:t>
      </w:r>
      <w:r>
        <w:rPr>
          <w:i/>
          <w:iCs/>
        </w:rPr>
        <w:t>British Journal of Developmental Psychology</w:t>
      </w:r>
      <w:r>
        <w:t xml:space="preserve">, </w:t>
      </w:r>
      <w:r>
        <w:rPr>
          <w:i/>
          <w:iCs/>
        </w:rPr>
        <w:t>25</w:t>
      </w:r>
      <w:r>
        <w:t>(1), 103–108.</w:t>
      </w:r>
    </w:p>
    <w:p w14:paraId="471E1F22" w14:textId="77777777" w:rsidR="00DA47B4" w:rsidRDefault="00000000">
      <w:pPr>
        <w:pStyle w:val="Literaturverzeichnis"/>
      </w:pPr>
      <w:bookmarkStart w:id="129" w:name="ref-ZAMBRZYCKA2017144"/>
      <w:bookmarkEnd w:id="128"/>
      <w:r>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31">
        <w:r>
          <w:rPr>
            <w:rStyle w:val="Hyperlink"/>
          </w:rPr>
          <w:t>https://doi.org/10.1016/j.infbeh.2016.12.002</w:t>
        </w:r>
      </w:hyperlink>
    </w:p>
    <w:p w14:paraId="699D29B9" w14:textId="77777777" w:rsidR="00DA47B4" w:rsidRDefault="00000000">
      <w:pPr>
        <w:pStyle w:val="Literaturverzeichnis"/>
      </w:pPr>
      <w:bookmarkStart w:id="130" w:name="ref-yinyuan2022a"/>
      <w:bookmarkEnd w:id="129"/>
      <w:r w:rsidRPr="004C5DF6">
        <w:rPr>
          <w:lang w:val="de-DE"/>
        </w:rPr>
        <w:t xml:space="preserve">Zheng, Y., </w:t>
      </w:r>
      <w:proofErr w:type="spellStart"/>
      <w:r w:rsidRPr="004C5DF6">
        <w:rPr>
          <w:lang w:val="de-DE"/>
        </w:rPr>
        <w:t>Matlen</w:t>
      </w:r>
      <w:proofErr w:type="spellEnd"/>
      <w:r w:rsidRPr="004C5DF6">
        <w:rPr>
          <w:lang w:val="de-DE"/>
        </w:rPr>
        <w:t xml:space="preserve">, B. J., &amp; Gentner, D. (2022). </w:t>
      </w:r>
      <w:r>
        <w:t xml:space="preserve">Spatial alignment facilitates visual comparison in children. </w:t>
      </w:r>
      <w:r>
        <w:rPr>
          <w:i/>
          <w:iCs/>
        </w:rPr>
        <w:t>Annual Meeting of the Cognitive Science Society</w:t>
      </w:r>
      <w:r>
        <w:t>.</w:t>
      </w:r>
      <w:bookmarkEnd w:id="27"/>
      <w:bookmarkEnd w:id="29"/>
      <w:bookmarkEnd w:id="130"/>
    </w:p>
    <w:sectPr w:rsidR="00DA47B4" w:rsidSect="00084144">
      <w:headerReference w:type="even" r:id="rId32"/>
      <w:headerReference w:type="default" r:id="rId33"/>
      <w:headerReference w:type="first" r:id="rId3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2E313" w14:textId="77777777" w:rsidR="008C5125" w:rsidRDefault="008C5125">
      <w:pPr>
        <w:spacing w:before="0" w:after="0" w:line="240" w:lineRule="auto"/>
      </w:pPr>
      <w:r>
        <w:separator/>
      </w:r>
    </w:p>
  </w:endnote>
  <w:endnote w:type="continuationSeparator" w:id="0">
    <w:p w14:paraId="1F9BFB13" w14:textId="77777777" w:rsidR="008C5125" w:rsidRDefault="008C51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65EB1" w14:textId="77777777" w:rsidR="008C5125" w:rsidRDefault="008C5125">
      <w:pPr>
        <w:spacing w:before="0" w:after="0" w:line="240" w:lineRule="auto"/>
      </w:pPr>
      <w:r>
        <w:separator/>
      </w:r>
    </w:p>
  </w:footnote>
  <w:footnote w:type="continuationSeparator" w:id="0">
    <w:p w14:paraId="01514948" w14:textId="77777777" w:rsidR="008C5125" w:rsidRDefault="008C51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1612210B"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08A5400"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5E7D207C"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1541D47"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2EFE3F1D"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AC81077"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19414556">
    <w:abstractNumId w:val="13"/>
  </w:num>
  <w:num w:numId="2" w16cid:durableId="1548105747">
    <w:abstractNumId w:val="13"/>
  </w:num>
  <w:num w:numId="3" w16cid:durableId="27293667">
    <w:abstractNumId w:val="14"/>
  </w:num>
  <w:num w:numId="4" w16cid:durableId="2035498124">
    <w:abstractNumId w:val="1"/>
  </w:num>
  <w:num w:numId="5" w16cid:durableId="386996974">
    <w:abstractNumId w:val="2"/>
  </w:num>
  <w:num w:numId="6" w16cid:durableId="577323506">
    <w:abstractNumId w:val="3"/>
  </w:num>
  <w:num w:numId="7" w16cid:durableId="1604847995">
    <w:abstractNumId w:val="4"/>
  </w:num>
  <w:num w:numId="8" w16cid:durableId="702487443">
    <w:abstractNumId w:val="9"/>
  </w:num>
  <w:num w:numId="9" w16cid:durableId="520820618">
    <w:abstractNumId w:val="5"/>
  </w:num>
  <w:num w:numId="10" w16cid:durableId="358973249">
    <w:abstractNumId w:val="6"/>
  </w:num>
  <w:num w:numId="11" w16cid:durableId="520893486">
    <w:abstractNumId w:val="7"/>
  </w:num>
  <w:num w:numId="12" w16cid:durableId="166333124">
    <w:abstractNumId w:val="8"/>
  </w:num>
  <w:num w:numId="13" w16cid:durableId="180244761">
    <w:abstractNumId w:val="10"/>
  </w:num>
  <w:num w:numId="14" w16cid:durableId="1847087986">
    <w:abstractNumId w:val="14"/>
  </w:num>
  <w:num w:numId="15" w16cid:durableId="298194484">
    <w:abstractNumId w:val="0"/>
  </w:num>
  <w:num w:numId="16" w16cid:durableId="377555607">
    <w:abstractNumId w:val="0"/>
  </w:num>
  <w:num w:numId="17" w16cid:durableId="1957055575">
    <w:abstractNumId w:val="11"/>
  </w:num>
  <w:num w:numId="18" w16cid:durableId="1656488495">
    <w:abstractNumId w:val="12"/>
  </w:num>
  <w:num w:numId="19" w16cid:durableId="26563608">
    <w:abstractNumId w:val="11"/>
  </w:num>
  <w:num w:numId="20" w16cid:durableId="1968585730">
    <w:abstractNumId w:val="12"/>
  </w:num>
  <w:num w:numId="21" w16cid:durableId="1343970149">
    <w:abstractNumId w:val="11"/>
  </w:num>
  <w:num w:numId="22" w16cid:durableId="1732464669">
    <w:abstractNumId w:val="12"/>
  </w:num>
  <w:num w:numId="23" w16cid:durableId="925185589">
    <w:abstractNumId w:val="11"/>
  </w:num>
  <w:num w:numId="24" w16cid:durableId="1776439360">
    <w:abstractNumId w:val="12"/>
  </w:num>
  <w:num w:numId="25" w16cid:durableId="2118715171">
    <w:abstractNumId w:val="12"/>
  </w:num>
  <w:num w:numId="26" w16cid:durableId="1750152666">
    <w:abstractNumId w:val="12"/>
  </w:num>
  <w:num w:numId="27" w16cid:durableId="2092923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4C5DF6"/>
    <w:rsid w:val="00506818"/>
    <w:rsid w:val="005A55BB"/>
    <w:rsid w:val="006373B0"/>
    <w:rsid w:val="00693388"/>
    <w:rsid w:val="006E6812"/>
    <w:rsid w:val="007E0034"/>
    <w:rsid w:val="00871062"/>
    <w:rsid w:val="008C5125"/>
    <w:rsid w:val="009E05DE"/>
    <w:rsid w:val="00BF4B6B"/>
    <w:rsid w:val="00CF1051"/>
    <w:rsid w:val="00DA47B4"/>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E63E"/>
  <w15:docId w15:val="{3D3BCC3E-2C30-461F-BD7C-C3B9A5D6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predicted.org/SJT_H7F" TargetMode="External"/><Relationship Id="rId18" Type="http://schemas.openxmlformats.org/officeDocument/2006/relationships/hyperlink" Target="https://github.com/GregorKachel/symlit_rep_manuscript" TargetMode="External"/><Relationship Id="rId26" Type="http://schemas.openxmlformats.org/officeDocument/2006/relationships/hyperlink" Target="https://doi.org/10.1002/9781118963418.childpsy207" TargetMode="Externa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header" Target="header3.xml"/><Relationship Id="rId7" Type="http://schemas.openxmlformats.org/officeDocument/2006/relationships/hyperlink" Target="https://github.com/GregorKachel/symlit_rep_manuscript" TargetMode="External"/><Relationship Id="rId12" Type="http://schemas.openxmlformats.org/officeDocument/2006/relationships/hyperlink" Target="https://aspredicted.org/SJT_H7F" TargetMode="External"/><Relationship Id="rId17" Type="http://schemas.openxmlformats.org/officeDocument/2006/relationships/hyperlink" Target="https://aspredicted.org/DR4_B4B" TargetMode="External"/><Relationship Id="rId25" Type="http://schemas.openxmlformats.org/officeDocument/2006/relationships/hyperlink" Target="https://doi.org/10.1207/s15326942dn2802_7"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aspredicted.org/DR4_B4B" TargetMode="External"/><Relationship Id="rId20" Type="http://schemas.openxmlformats.org/officeDocument/2006/relationships/image" Target="media/image2.png"/><Relationship Id="rId29" Type="http://schemas.openxmlformats.org/officeDocument/2006/relationships/hyperlink" Target="https://mc-sta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1467-8624.00096" TargetMode="External"/><Relationship Id="rId24" Type="http://schemas.openxmlformats.org/officeDocument/2006/relationships/hyperlink" Target="https://doi.org/10.1016/S0166-4115(08)60456-2"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spredicted.org/L2H_XC7" TargetMode="External"/><Relationship Id="rId23" Type="http://schemas.openxmlformats.org/officeDocument/2006/relationships/hyperlink" Target="https://doi.org/10.1016/0022-0965(87)90057-9" TargetMode="External"/><Relationship Id="rId28" Type="http://schemas.openxmlformats.org/officeDocument/2006/relationships/hyperlink" Target="https://books.google.de/books?id=BXrHqqUYu0QC" TargetMode="External"/><Relationship Id="rId36" Type="http://schemas.openxmlformats.org/officeDocument/2006/relationships/theme" Target="theme/theme1.xml"/><Relationship Id="rId10" Type="http://schemas.openxmlformats.org/officeDocument/2006/relationships/hyperlink" Target="https://doi.org/10.1207/s15326942dn2802_7" TargetMode="External"/><Relationship Id="rId19" Type="http://schemas.openxmlformats.org/officeDocument/2006/relationships/image" Target="media/image1.png"/><Relationship Id="rId31" Type="http://schemas.openxmlformats.org/officeDocument/2006/relationships/hyperlink" Target="https://doi.org/10.1016/j.infbeh.2016.12.002" TargetMode="External"/><Relationship Id="rId4" Type="http://schemas.openxmlformats.org/officeDocument/2006/relationships/webSettings" Target="webSettings.xml"/><Relationship Id="rId9" Type="http://schemas.openxmlformats.org/officeDocument/2006/relationships/hyperlink" Target="https://doi.org/10.1111/j.0037-976X.2003.00261.x" TargetMode="External"/><Relationship Id="rId14" Type="http://schemas.openxmlformats.org/officeDocument/2006/relationships/hyperlink" Target="https://aspredicted.org/L2H_XC7" TargetMode="External"/><Relationship Id="rId22" Type="http://schemas.openxmlformats.org/officeDocument/2006/relationships/image" Target="media/image4.png"/><Relationship Id="rId27" Type="http://schemas.openxmlformats.org/officeDocument/2006/relationships/hyperlink" Target="https://doi.org/10.1080/15248370701836592" TargetMode="External"/><Relationship Id="rId30" Type="http://schemas.openxmlformats.org/officeDocument/2006/relationships/hyperlink" Target="https://doi.org/10.1093/oxfordhb/9780192849489.013.0012" TargetMode="External"/><Relationship Id="rId35" Type="http://schemas.openxmlformats.org/officeDocument/2006/relationships/fontTable" Target="fontTable.xml"/><Relationship Id="rId8" Type="http://schemas.openxmlformats.org/officeDocument/2006/relationships/hyperlink" Target="https://doi.org/10.1146/annurev-psych-113011-1437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13666</Words>
  <Characters>86096</Characters>
  <Application>Microsoft Office Word</Application>
  <DocSecurity>0</DocSecurity>
  <Lines>717</Lines>
  <Paragraphs>199</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99563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2</cp:revision>
  <dcterms:created xsi:type="dcterms:W3CDTF">2026-04-01T16:51:00Z</dcterms:created>
  <dcterms:modified xsi:type="dcterms:W3CDTF">2026-04-01T16:57:00Z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