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379C" w14:textId="77777777" w:rsidR="00A511C4" w:rsidRDefault="00000000" w:rsidP="00A511C4">
      <w:pPr>
        <w:pStyle w:val="h1-pagebreak"/>
        <w:rPr>
          <w:b/>
          <w:bCs w:val="0"/>
        </w:rPr>
      </w:pPr>
      <w:r w:rsidRPr="00A511C4">
        <w:rPr>
          <w:b/>
          <w:bCs w:val="0"/>
        </w:rPr>
        <w:t xml:space="preserve">Young Children’s Spontaneous Comprehension of Symbol-Referent Relationships </w:t>
      </w:r>
      <w:r w:rsidR="00A511C4">
        <w:rPr>
          <w:b/>
          <w:bCs w:val="0"/>
        </w:rPr>
        <w:br/>
      </w:r>
      <w:r w:rsidRPr="00A511C4">
        <w:rPr>
          <w:b/>
          <w:bCs w:val="0"/>
        </w:rPr>
        <w:t>in the Graphic Domain</w:t>
      </w:r>
    </w:p>
    <w:p w14:paraId="4DFEE7E7" w14:textId="313EE8E4" w:rsidR="00A511C4" w:rsidRDefault="00A511C4" w:rsidP="00A511C4">
      <w:pPr>
        <w:pStyle w:val="h1-pagebreak"/>
      </w:pPr>
      <w:r>
        <w:lastRenderedPageBreak/>
        <w:t>Abstract</w:t>
      </w:r>
    </w:p>
    <w:p w14:paraId="47136528" w14:textId="77777777" w:rsidR="00A511C4" w:rsidRDefault="00A511C4" w:rsidP="00FD67B5">
      <w:pPr>
        <w:pStyle w:val="Textkrper"/>
        <w:jc w:val="both"/>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qualitative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E1C7A02" w14:textId="77777777" w:rsidR="00A511C4" w:rsidRDefault="00A511C4" w:rsidP="00A511C4">
      <w:pPr>
        <w:pStyle w:val="Textkrper"/>
      </w:pPr>
      <w:r>
        <w:rPr>
          <w:i/>
          <w:iCs/>
        </w:rPr>
        <w:t>Keywords:</w:t>
      </w:r>
      <w:r>
        <w:t xml:space="preserve"> Graphic Communication, Pragmatics, Symbol-Referent-Relationships, Iconicity, Representation, Analogical Reasoning</w:t>
      </w:r>
    </w:p>
    <w:p w14:paraId="21F4F8F1" w14:textId="26575223" w:rsidR="00A511C4" w:rsidRPr="00A511C4" w:rsidRDefault="00A511C4" w:rsidP="00A511C4">
      <w:pPr>
        <w:pStyle w:val="Textkrper"/>
        <w:rPr>
          <w:b/>
          <w:bCs/>
        </w:rPr>
      </w:pPr>
      <w:r>
        <w:rPr>
          <w:i/>
          <w:iCs/>
        </w:rPr>
        <w:t>Word count:</w:t>
      </w:r>
      <w:r>
        <w:t xml:space="preserve"> 12.420</w:t>
      </w:r>
    </w:p>
    <w:p w14:paraId="6014BFF3" w14:textId="77777777" w:rsidR="00AE3AC5" w:rsidRDefault="00000000">
      <w:pPr>
        <w:pStyle w:val="berschrift1"/>
      </w:pPr>
      <w:bookmarkStart w:id="0" w:name="introduction"/>
      <w:r>
        <w:lastRenderedPageBreak/>
        <w:t>Introduction</w:t>
      </w:r>
    </w:p>
    <w:p w14:paraId="1714B368" w14:textId="77777777" w:rsidR="00AE3AC5" w:rsidRDefault="00000000" w:rsidP="00FD67B5">
      <w:pPr>
        <w:pStyle w:val="FirstParagraph"/>
        <w:jc w:val="both"/>
      </w:pPr>
      <w:r>
        <w:t>Children’s developing understanding of symbols in language, gesture or symbolic artefacts is central to their enculturation and demonstrates cognitive capacities that define the human mind (Tomasello, 2014; Vygotsky, 1980). The acquisition of language and – much later – literacy (Bruner, 1996; Dehaene, 2009) are arguably two of the most significant achievements in cultural learning that individuals undergo with dramatic consequences for their cognitive abilities (Karmiloff-Smith, 1994). In order to better understand the underlying processes, researchers have worked on gesture, words, photographs, representative drawings, maps, models, simulacra, figurines and sound symbolism (Callaghan &amp; Corbit, 2015).</w:t>
      </w:r>
    </w:p>
    <w:p w14:paraId="1033665D" w14:textId="77777777" w:rsidR="00AE3AC5" w:rsidRDefault="00000000" w:rsidP="00FD67B5">
      <w:pPr>
        <w:pStyle w:val="Textkrper"/>
        <w:jc w:val="both"/>
      </w:pPr>
      <w:r>
        <w:t>The work of Judy DeLoache and colleagues has been of seminal importance in sketching children’s ability to exploit the informative value of symbolic artefacts. In various studies, they have prompted children to find the location of a hidden toy by providing them with cues in the form of scale models, pictures, videos and maps representing a search space (DeLoache, 2004). Whereas even 30-month-old children fail to retrieve hidden items by using instructions based on replicas like a model-room, 36-month-olds excel. This pattern of results in symbolic object-choice-tasks has been replicated many times by her group and other labs (DeLoache, 2011) and demonstrates that children’s symbolic understanding undergoes a rapid development in the third year of life (Callaghan &amp; Corbit, 2015; DeLoache, 2004).</w:t>
      </w:r>
    </w:p>
    <w:p w14:paraId="1EEABF80" w14:textId="77777777" w:rsidR="00AE3AC5" w:rsidRDefault="00000000" w:rsidP="00FD67B5">
      <w:pPr>
        <w:pStyle w:val="Textkrper"/>
        <w:jc w:val="both"/>
      </w:pPr>
      <w:r>
        <w:t xml:space="preserve">A similar developmental trajectory has been observed in the understanding of graphic representations. Iconicity provides an entry point in this domain and even in the first year, infants are sensitive to the similarity between a picture and its 3D referent (DeLoache, Pierroutsakos, Uttal, Rosengren, &amp; Gottlieb, 1998). While pictures can incite manual exploration before the first birthday (Pierroutsakos &amp; DeLoache, 2003) this is replaced with pointing to the depiction in the </w:t>
      </w:r>
      <w:r>
        <w:lastRenderedPageBreak/>
        <w:t>second year (DeLoache et al., 1998). Around the same age, toddlers understand that pictures refer to concepts (Allen Preissler &amp; Carey, 2004) in learning words: 15- and 18-month-olds can extend newly learned labels both from pictures to objects and from objects to pictures (Ganea, Pickard, &amp; DeLoache, 2008). From 2,5 to 4, children use the shape of drawings to interpret them as long as the drawings are presented to them as having been produced intentionally (Gelman &amp; Ebeling, 1998). Yet, Callaghan (1999) found that two-year-olds were still at chance selecting an item depicted in representative drawings whereas three- and four-year-olds succeeded. Children’s comprehension of graphic depictions remains fragile until the end of the third year. Callaghan (2000) presented children either with a realistic pencil drawing, a stylized drawing or a model replica and then prompted children to choose what was depicted from a set of two realistic presentations. 30-months-olds did not benefit from iconicity and failed to use pictures and replicas as symbols. 36-month-olds succeeded in all conditions and benefitted from iconicity and the availability of verbal labels during the task (Callaghan, 2000; DeLoache, 1995). Matching graphic representations with each other is much less demanding or even so trivial that it is rarely employed in experimental contexts. Finding a graphical item in a drawn scene as is often done in picture-book reading routines or visual search paradigms and is generally accessible for children at the end of the third year (Gerhardstein &amp; Rovee-Collier, 2002). Matching identical items in match-to-sample tasks is occasionally used as a training in research on analogical reasoning and generally provides no challenge for children older than three (Kroupin &amp; Carey, 2022b).</w:t>
      </w:r>
    </w:p>
    <w:p w14:paraId="2EC15071" w14:textId="77777777" w:rsidR="00AE3AC5" w:rsidRDefault="00000000" w:rsidP="00FD67B5">
      <w:pPr>
        <w:pStyle w:val="Textkrper"/>
        <w:jc w:val="both"/>
      </w:pPr>
      <w:r>
        <w:t xml:space="preserve">Direct investigations into children’s ability to use conceptual dimensions other than similarity or iconicity in the graphic domain are rare. Given that graphical representations are static in time and limited to 2D-space, the conceptual dimensions along which information can be encoded is finite. Apart from representations capturing the actual shape of what they are depicting, discussions of graphic communication generally identify primitives or “visual </w:t>
      </w:r>
      <w:r>
        <w:lastRenderedPageBreak/>
        <w:t>variables” as fundamental elements for encoding information. These variables are position, size, number, orientation, relational and gestalt-principles, as well as continuous visual properties such as brightness, color (hue) or texture (Cleveland &amp; McGill, 1984; Stevenson, Alberto, Boom, &amp; Boeck, 2014). The former group takes precedence in conceptual implementation due to their discreteness. After all, a conventional sign or representative drawing can evoke the same concept regardless of the color or brightness it is implemented with. On the perceptual level, object, color, quantity, size are easier to process than relational properties or figural analogies such as orientation and position (Donnelly et al., 2007; Stevenson et al., 2014). Similar successions have been documented throughout the preschool years. Children are first able to understand iconic signs or depictions around the third birthday, whereas more conceptual or analogical dimensions are appreciated only at four to five years of age (Callaghan, 2000). Defining the precise ages and relative developmental trajectories for children’s sensitivity to using these graphic primitives as conveying meaning and disambiguating reference provides crucial insights into children’s developing symbolic competence.</w:t>
      </w:r>
    </w:p>
    <w:p w14:paraId="4937C8B4" w14:textId="77777777" w:rsidR="00AE3AC5" w:rsidRDefault="00000000" w:rsidP="00FD67B5">
      <w:pPr>
        <w:pStyle w:val="Textkrper"/>
        <w:jc w:val="both"/>
      </w:pPr>
      <w:r>
        <w:t xml:space="preserve">Omissions in depiction are an important aspect of developing conventions and streamlining communication (Goldin-Meadow &amp; Feldman, 1977) as well as they are an interesting minimal step towards abstraction as they are still basically iconic, yet only showing a part or aspect of the referent. At least for basic geometrical shapes, we know that while the production and completion of shapes in drawing (Cox, 2005; Dağlı &amp; Halat, 2016) develops throughout the preschool years, shape recognition and naming are robust in the third and fourth year (Verdine, Bunger, Athanasopoulou, Golinkoff, &amp; Hirsh-Pasek, 2017; Verdine, Lucca, Golinkoff, Hirsh-Pasek, &amp; Newcombe, 2016; Zambrzycka, Kotsopoulos, Lee, &amp; Makosz, 2017) and the ability to mentally complete canonical geometric shapes is already nascent in early infancy (Kellman &amp; Spelke, 1983; Valenza, Leo, Gava, &amp; Simion, 2006), making part-whole </w:t>
      </w:r>
      <w:r>
        <w:lastRenderedPageBreak/>
        <w:t>relationships on the level of geometric figures an ideal target for an investigation into slightly abstract symbol-reference relationships that young children may be able to read at the beginning of the preschool years.</w:t>
      </w:r>
    </w:p>
    <w:p w14:paraId="7C1B906E" w14:textId="77777777" w:rsidR="00AE3AC5" w:rsidRDefault="00000000" w:rsidP="00FD67B5">
      <w:pPr>
        <w:pStyle w:val="Textkrper"/>
        <w:jc w:val="both"/>
      </w:pPr>
      <w:r>
        <w:t>A highly abstract means of reference that is still rooted in iconicity may be the metaphorical use of form or shape, for example, by referring to something pointy, sharp or spiky with an edgy or more clear cut rectangular drawing (Knoeferle, Li, Maggioni, &amp; Spence, 2017). Again, this is common in language and became a focus of research studying sound symbolism in the lexicon (Bermúdez, 2020; Sidhu, 2025), as well as actions and gesture (Bohn, Call, &amp; Tomasello, 2019; Margiotoudi &amp; Pulvermüller, 2020). The phenomenon is robust across cultures (Ćwiek et al., 2022) and children appear sensitive to sound symbolism matching words and shapes by about 30 months of age (Fort et al., 2018; Imai, Kita, Nagumo, &amp; Okada, 2008; Maurer, Pathman, &amp; Mondloch, 2006) and for matching actions with gestures or vocalizations at 36 months (Bohn, Call, et al., 2019). There is currently no data on whether children are sensitive to an agreement in the overall properties of a shape or the impression that its form conveys for grounding reference.</w:t>
      </w:r>
    </w:p>
    <w:p w14:paraId="4880D382" w14:textId="77777777" w:rsidR="00AE3AC5" w:rsidRDefault="00000000" w:rsidP="00FD67B5">
      <w:pPr>
        <w:pStyle w:val="Textkrper"/>
        <w:jc w:val="both"/>
      </w:pPr>
      <w:r>
        <w:t xml:space="preserve">As with the other dimensions reported above, there is evidence that children are sensitive to Gestalt principles like closure and spatial dimensions of composition position, orientation and alignment in graphic displays but there is virtually no data on how likely children are to perceive such aspects of graphical stimuli to convey meaning. Closure appears to be a basic principle for graphic production, as children rarely draw overlapping figures (Cox, 2005; Piaget, Inhelder, &amp; Bovet, 1997). Relative position is intuitively used by children even in their earliest figural drawings when arranging items in scenes, such as children next to an ice-cream van, but also when achieving “intellectual realism” in depicting complex objects (Luquet &amp; Costall, 2001). </w:t>
      </w:r>
      <w:r>
        <w:lastRenderedPageBreak/>
        <w:t>That is, while children’s drawings may not look realistic per se, they are true to the invariant organisation of a depicted item via the relative position of the defining elements: when drawing a car, the wheels will be added at the bottom rather than on top (Cox, 2005). In both cases, relative position and orientation on the level of the individual object or scene may be discussed as iconic. A more abstract or conceptual use of relative position for conveying information is present in children’s developing ability to read maps. An intuitive understanding of basic maps allowing children to extract relational directions such as “behind me” or “in front of me” is accessible by four years of age and even so in the absence of training (Landau, 1986) but iconicity is again very important for grasping the conceptual space depicted in maps (Liben &amp; Downs, 2013). Likewise, 4-year-olds can use geometric information from maps to navigate real space (Shusterman, Ah Lee, &amp; Spelke, 2008), but the more demanding transfer from maps to real-world settings with larger spatial arrays is unstable prior to six to seven years of age (Blades &amp; Spencer, 1994; Uttal &amp; Wellman, 1989).</w:t>
      </w:r>
    </w:p>
    <w:p w14:paraId="113EEC55" w14:textId="77777777" w:rsidR="00AE3AC5" w:rsidRDefault="00000000" w:rsidP="00FD67B5">
      <w:pPr>
        <w:pStyle w:val="Textkrper"/>
        <w:jc w:val="both"/>
      </w:pPr>
      <w:r>
        <w:t>Size is a relative property of graphical content and requires a comparison between items, for example when drawing a big and small dog, or an appreciation of an item’s relation to the frame of reference it occurs in, as when a child may try to convey the concept of a big dog by making it occupy the entire piece of paper it is drawing on (Cox, 2005). Children are able to make spontaneous or productive size comparisons at three years of age and begin to use size words size words (</w:t>
      </w:r>
      <w:r>
        <w:rPr>
          <w:i/>
          <w:iCs/>
        </w:rPr>
        <w:t>big</w:t>
      </w:r>
      <w:r>
        <w:t>), size superlatives (</w:t>
      </w:r>
      <w:r>
        <w:rPr>
          <w:i/>
          <w:iCs/>
        </w:rPr>
        <w:t>biggest</w:t>
      </w:r>
      <w:r>
        <w:t xml:space="preserve">), or quantifiers (more, most) (Ferry et al., 2025), yet young children are most accurate with </w:t>
      </w:r>
      <w:r>
        <w:rPr>
          <w:i/>
          <w:iCs/>
        </w:rPr>
        <w:t>bigger</w:t>
      </w:r>
      <w:r>
        <w:t xml:space="preserve"> and only gradually gain competence with words like smaller, shorter or longer (Frausel et al., 2020). When presented with an array of graphic stimuli, preschoolers can reliably point at, for example, the smallest or largest item in a set (Haun &amp; Tomasello, 2011). While three- and four-year-olds can identify larger or smaller graphic items, the canonical size of the depicted objects can interfere leading to stroop-like errors </w:t>
      </w:r>
      <w:r>
        <w:lastRenderedPageBreak/>
        <w:t>(Long, Moher, Carey, &amp; Konkle, 2019). When presented with three different geometric shapes in matching or non-matching dimensions (e.g. large, large, small) in match-to-sample tasks, children are quite unlikely to spontaneously infer size as the basis for matching even around the fourth birthday (Kroupin &amp; Carey, 2022b). One of the few studies using size as a way for grounding reference, investigated the role of the producers intentions in identifying concepts in ambiguous scribble drawings that were presented to participants as aiming to depict, for example, a small spider next to a big house. Children here made use of spatial analogies beginning at three years of age but appeared to benefit more as they turned four (Bloom &amp; Markson, 1998).</w:t>
      </w:r>
    </w:p>
    <w:p w14:paraId="35FD4502" w14:textId="77777777" w:rsidR="00AE3AC5" w:rsidRDefault="00000000" w:rsidP="00FD67B5">
      <w:pPr>
        <w:pStyle w:val="Textkrper"/>
        <w:jc w:val="both"/>
      </w:pPr>
      <w:r>
        <w:t xml:space="preserve">Number, is another relational concept, and an absolute primitive in graphic communication (Cooperrider &amp; Gentner, 2019; Ifrah, 2000) likely to be the conceptual space that the very first historic systems of writing were trying to capture. Judgments of quantity have been studied extensively in developmental psychology and identified both implicit and explicit number systems (Carey &amp; Barner, 2019). Infants already have an implicit proximate grasp of differences in number (Starr, Libertus, &amp; Brannon, 2013) with one versus three being one of the most early comparisons possible, which is also frequently used as the most simple tasks in comparative work (Carey, 2000; Eckert, Bohn, &amp; Spaethe, 2022; Xu &amp; Arriaga, 2007). Preschoolers growing up in industrialized environments are constantly surrounded by math tasks in the form of various games (Daucourt, Napoli, Quinn, Wood, &amp; Hart, 2021) as well as preschool curricula incentivizing a playful engagement with quantities, number symbols and shapes (Kucharz, 2012; Schmidt, Sauerbrey, &amp; Smidt, 2021). By four years of age, children have a basic grasp of the cardinal principle, that is basic understanding of the relation of number words and fixed quantities (Carey &amp; Barner, 2019; Silver &amp; Libertus, 2022) and they are able to use that knowledge in practical everyday contexts, for example when comparing comparing numbers with </w:t>
      </w:r>
      <w:r>
        <w:lastRenderedPageBreak/>
        <w:t>magnitudes smaller than five (Wynn, 1990). In match-to-sample tasks, children spontaneously infer number as a basis of comparison at 48–60 months (Kroupin &amp; Carey, 2022b).</w:t>
      </w:r>
    </w:p>
    <w:p w14:paraId="504D262E" w14:textId="77777777" w:rsidR="00AE3AC5" w:rsidRDefault="00000000" w:rsidP="00FD67B5">
      <w:pPr>
        <w:pStyle w:val="Textkrper"/>
        <w:jc w:val="both"/>
      </w:pPr>
      <w:r>
        <w:t xml:space="preserve">From this review of children’s ability to appreciate various basic dimensions of graphic depictions and their sensitivity to these as means for conveying information, we can identify a couple of research desiderata. Most striking is the literature’s focus on similarity and iconicity (Callaghan &amp; Corbit, 2015). Mappings between symbol and referent can take place along a number of conceptual dimensions and few studies explicitly address these. Against this background, a systematic and comprehensive investigation of the conceptual dimensions along which graphic symbols can be imbued with meaning, will help to evaluate the extent to which children’s competence is specific to certain types of symbol-referent-relationships or generalizes across mappings based on analogy in form, size, number, or Gestalt principles. The strong focus on iconicity often goes together with graphic stimuli depicting actual real world objects. Here familiarity with the depicted object, its canonical features and even conventional ways of drawing them may interfere with the aim of investigating cognitive capacities rather than knowledge of culturally imbued graphic conventions, script or icons. By contrast, this studies below investigate young children’s spontaneous comprehension of unfamiliar graphic symbols that gain meaning from being produced in a specific and highly restricted context where symbol and referent align in certain conceptual dimensions with decreasing iconicity. Therefore, they focus on children’s pragmatic competencies and their ability to identify shared features across graphic displays used as target and referent. To the extent that children are highly unlikely to have encountered the specific graphic cues used here, our findings showcase their ability to grasp a novel symbolic practice and acquire novel symbols. This may limit the influence of children’s knowledge of conventional symbols on performance and make results more robust and informative for research </w:t>
      </w:r>
      <w:r>
        <w:lastRenderedPageBreak/>
        <w:t>about the acquisition or emergence of communicative systems despite spanning an age-range where children become competent users of script, numerals or drawings.</w:t>
      </w:r>
    </w:p>
    <w:p w14:paraId="3ABEA55A" w14:textId="77777777" w:rsidR="00AE3AC5" w:rsidRDefault="00000000">
      <w:pPr>
        <w:pStyle w:val="berschrift1"/>
      </w:pPr>
      <w:bookmarkStart w:id="1" w:name="general-methods"/>
      <w:bookmarkEnd w:id="0"/>
      <w:r>
        <w:t>General Methods</w:t>
      </w:r>
    </w:p>
    <w:p w14:paraId="3EDA4417" w14:textId="0A71C64D" w:rsidR="00AE3AC5" w:rsidRDefault="00000000" w:rsidP="00FD67B5">
      <w:pPr>
        <w:pStyle w:val="FirstParagraph"/>
        <w:jc w:val="both"/>
      </w:pPr>
      <w:r>
        <w:t>All studies presented below share methodological and analytic approaches. For the convenience of the reader, common features of the procedure, participant recruiting and stimulus design are reported first before discussing the three studies respectively. All studies were preregistered online prior to data collection (cf. </w:t>
      </w:r>
      <w:hyperlink r:id="rId7">
        <w:r>
          <w:rPr>
            <w:rStyle w:val="Hyperlink"/>
          </w:rPr>
          <w:t>Study 1</w:t>
        </w:r>
      </w:hyperlink>
      <w:r>
        <w:t xml:space="preserve">: </w:t>
      </w:r>
      <w:hyperlink r:id="rId8">
        <w:r>
          <w:rPr>
            <w:rStyle w:val="Hyperlink"/>
          </w:rPr>
          <w:t>https://aspredicted.org/SJT_H7F</w:t>
        </w:r>
      </w:hyperlink>
      <w:r>
        <w:t xml:space="preserve">, </w:t>
      </w:r>
      <w:hyperlink r:id="rId9">
        <w:r>
          <w:rPr>
            <w:rStyle w:val="Hyperlink"/>
          </w:rPr>
          <w:t>Study 2</w:t>
        </w:r>
      </w:hyperlink>
      <w:r>
        <w:t xml:space="preserve">: </w:t>
      </w:r>
      <w:hyperlink r:id="rId10">
        <w:r>
          <w:rPr>
            <w:rStyle w:val="Hyperlink"/>
          </w:rPr>
          <w:t>https://aspredicted.org/L2H_XC7</w:t>
        </w:r>
      </w:hyperlink>
      <w:r>
        <w:t xml:space="preserve">, and </w:t>
      </w:r>
      <w:hyperlink r:id="rId11">
        <w:r>
          <w:rPr>
            <w:rStyle w:val="Hyperlink"/>
          </w:rPr>
          <w:t>Study 3</w:t>
        </w:r>
      </w:hyperlink>
      <w:r>
        <w:t xml:space="preserve">: </w:t>
      </w:r>
      <w:hyperlink r:id="rId12">
        <w:r>
          <w:rPr>
            <w:rStyle w:val="Hyperlink"/>
          </w:rPr>
          <w:t>https://aspredicted.org/DR4_B4B</w:t>
        </w:r>
      </w:hyperlink>
      <w:r>
        <w:t xml:space="preserve">). All stimuli, experiments, data and analyses are available at: </w:t>
      </w:r>
      <w:r w:rsidR="00161E7C">
        <w:t>[MASKED FOR REVIEW]</w:t>
      </w:r>
    </w:p>
    <w:p w14:paraId="5672EA64" w14:textId="77777777" w:rsidR="00AE3AC5" w:rsidRDefault="00000000" w:rsidP="00FD67B5">
      <w:pPr>
        <w:pStyle w:val="berschrift2"/>
        <w:jc w:val="both"/>
      </w:pPr>
      <w:bookmarkStart w:id="2" w:name="data-collection-and-setup"/>
      <w:r>
        <w:t>Data Collection and Setup</w:t>
      </w:r>
    </w:p>
    <w:p w14:paraId="1196D579" w14:textId="77777777" w:rsidR="00AE3AC5" w:rsidRDefault="00000000" w:rsidP="00FD67B5">
      <w:pPr>
        <w:pStyle w:val="FirstParagraph"/>
        <w:jc w:val="both"/>
      </w:pPr>
      <w:r>
        <w:t>In order to continuously trace the development of symbolic competences across the preschool years, for each study we aimed to test two children per month of age between the third and the seventh birthday for a total of 96 participants balancing male and female participants. As children participated on the basis of availability and data were collected by several experimenter teams in parallel, the final samples slightly exceed this preregistered minimum sample size. The final sample approximates an equal distribution of male and female participants and aligns with conventions in the field in providing a minimum of 24 participants per study and year of age.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w:t>
      </w:r>
    </w:p>
    <w:p w14:paraId="62883FF2" w14:textId="77777777" w:rsidR="00AE3AC5" w:rsidRDefault="00000000" w:rsidP="00FD67B5">
      <w:pPr>
        <w:pStyle w:val="berschrift2"/>
        <w:jc w:val="both"/>
      </w:pPr>
      <w:bookmarkStart w:id="3" w:name="setup-and-procedure"/>
      <w:bookmarkEnd w:id="2"/>
      <w:r>
        <w:lastRenderedPageBreak/>
        <w:t>Setup and Procedure</w:t>
      </w:r>
    </w:p>
    <w:p w14:paraId="200A2193" w14:textId="77777777" w:rsidR="00AE3AC5" w:rsidRDefault="00000000" w:rsidP="00FD67B5">
      <w:pPr>
        <w:pStyle w:val="FirstParagraph"/>
        <w:jc w:val="bot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3FB6C524" w14:textId="77777777" w:rsidR="00AE3AC5" w:rsidRDefault="00000000" w:rsidP="00FD67B5">
      <w:pPr>
        <w:pStyle w:val="CaptionedFigure"/>
        <w:framePr w:wrap="notBeside"/>
        <w:jc w:val="both"/>
      </w:pPr>
      <w:r>
        <w:rPr>
          <w:noProof/>
        </w:rPr>
        <w:drawing>
          <wp:inline distT="0" distB="0" distL="0" distR="0" wp14:anchorId="64AF458B" wp14:editId="330BD25E">
            <wp:extent cx="5670550" cy="3752457"/>
            <wp:effectExtent l="0" t="0" r="0" b="0"/>
            <wp:docPr id="28"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target and one of two possible cues. Panel C exemplifies how two targets and one of the cues can be arranged in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9" name="Picture" descr="../illustrations/setup%20complete.png"/>
                    <pic:cNvPicPr>
                      <a:picLocks noChangeAspect="1" noChangeArrowheads="1"/>
                    </pic:cNvPicPr>
                  </pic:nvPicPr>
                  <pic:blipFill>
                    <a:blip r:embed="rId13"/>
                    <a:stretch>
                      <a:fillRect/>
                    </a:stretch>
                  </pic:blipFill>
                  <pic:spPr bwMode="auto">
                    <a:xfrm>
                      <a:off x="0" y="0"/>
                      <a:ext cx="5670550" cy="3752457"/>
                    </a:xfrm>
                    <a:prstGeom prst="rect">
                      <a:avLst/>
                    </a:prstGeom>
                    <a:noFill/>
                    <a:ln w="9525">
                      <a:noFill/>
                      <a:headEnd/>
                      <a:tailEnd/>
                    </a:ln>
                  </pic:spPr>
                </pic:pic>
              </a:graphicData>
            </a:graphic>
          </wp:inline>
        </w:drawing>
      </w:r>
    </w:p>
    <w:p w14:paraId="61B5CD85" w14:textId="77777777" w:rsidR="00AE3AC5" w:rsidRDefault="00000000" w:rsidP="00FD67B5">
      <w:pPr>
        <w:pStyle w:val="ImageCaption"/>
        <w:jc w:val="both"/>
      </w:pPr>
      <w:bookmarkStart w:id="4" w:name="fig:plot-figure-setup"/>
      <w:bookmarkEnd w:id="4"/>
      <w:r>
        <w:rPr>
          <w:i/>
          <w:iCs/>
        </w:rPr>
        <w:lastRenderedPageBreak/>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target and one of two possible cues. Panel C exemplifies how two targets and one of the cues can be arranged in a specific test trial. Panel D shows a familiarization trial and Panel E shows a test trial.</w:t>
      </w:r>
    </w:p>
    <w:p w14:paraId="169A402F" w14:textId="77777777" w:rsidR="00AE3AC5" w:rsidRDefault="00000000" w:rsidP="00FD67B5">
      <w:pPr>
        <w:pStyle w:val="Textkrper"/>
        <w:jc w:val="both"/>
      </w:pPr>
      <w:r>
        <w:rPr>
          <w:i/>
          <w:iCs/>
        </w:rPr>
        <w:t>Familiarisation.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369D0EE3" w14:textId="77777777" w:rsidR="00AE3AC5" w:rsidRDefault="00000000" w:rsidP="00FD67B5">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After the hiding phase, the monkey held up a piece of paper and a pencil. Pencil movement and a short scribble </w:t>
      </w:r>
      <w:r>
        <w:lastRenderedPageBreak/>
        <w:t>sound indicated that the monkey was drawing. Finally, participants were prompted with the phrase “Where is the banana?” and the monkey’s drawing was placed in the center between the two barriers. The drawing served as a cue to guide children’s choice. Children’s choice was acknowledged with neutral feedback (“Ah, thank you”) leading to the next trial (cf. figure 1 E).</w:t>
      </w:r>
    </w:p>
    <w:p w14:paraId="4250DCB4" w14:textId="77777777" w:rsidR="00AE3AC5" w:rsidRDefault="00000000" w:rsidP="00FD67B5">
      <w:pPr>
        <w:pStyle w:val="Textkrper"/>
        <w:jc w:val="both"/>
      </w:pPr>
      <w:r>
        <w:t>A single trial lasted roughly 20 to 60 seconds, depending on how swiftly children chose. Each study presented four different experimental conditions with four trials each in a blocked order for a maximum of 16 test trials. Unique graphic displays were used on every trial. Test sessions lasted about 12 minutes in total. The order of conditions was counterbalanced across participants. Children occasionally wished to stop before completing all trials, resulting in minor deviations of the total number of trials per condition that were submitted to analysis. For an overview of the average number of trials participants received in each condition, see supplementary materials. In line with the preregistration, children had to complete a minimum of eight test trials to be included in analysis.</w:t>
      </w:r>
    </w:p>
    <w:p w14:paraId="332FAEBF" w14:textId="77777777" w:rsidR="00AE3AC5" w:rsidRDefault="00000000" w:rsidP="00FD67B5">
      <w:pPr>
        <w:pStyle w:val="berschrift2"/>
        <w:jc w:val="both"/>
      </w:pPr>
      <w:bookmarkStart w:id="5" w:name="stimuli-and-counterbalancing"/>
      <w:bookmarkEnd w:id="3"/>
      <w:r>
        <w:t>Stimuli and Counterbalancing</w:t>
      </w:r>
    </w:p>
    <w:p w14:paraId="474FA88F" w14:textId="77777777" w:rsidR="00AE3AC5" w:rsidRDefault="00000000" w:rsidP="00FD67B5">
      <w:pPr>
        <w:pStyle w:val="FirstParagraph"/>
        <w:jc w:val="both"/>
      </w:pPr>
      <w:r>
        <w:t xml:space="preserve">The set of studies presented here regard communication as a means for solving coordination problems. In the simplest small-world scenario an utterance or symbol, such as a graphic display, provided by a helpful interlocutor should enable an addressee to shift attention to, or help decide for one out of two options that are relevant in a particular practical context and even in the absence of conventions (Wittgenstein, 2009). The context in the studies presented below is provided by a game of hide and seek and the options are two hiding places that are distinct by means of the graphic displays they are marked with. The aim was to test at what age children become able to spontaneously use graphic displays employing various dimensions of symbol-referent relationships. For this, the graphic displays presented as referents were designed </w:t>
      </w:r>
      <w:r>
        <w:lastRenderedPageBreak/>
        <w:t xml:space="preserve">to saliently differ in one relevant dimension and to be as similar as possible with regard to other surface features. The referent, on the other hand, was a reduced and less straight-lined graphic display akin to a hand drawing that had something in common with one of the referents and is thereby referring to it while it remains distinct with regard to other surface features. In test trials, one of the possible referents serves as a target and the other as a distractor. For counterbalancing, a second referent was designed to refer to the other target, such that across participants the same referents serve equally often as targets and distractors. For an illustration of trial composition, see figure 1 B and C. For each of the conditions in the three studies below, four sets of stimuli were designed, consisting of two blue shapes serving as target or distractor, and two drawings that could serve as cues. Each condition covers a particular type of symbol-referent relationship via four stimulus versions with two variations each. For an example, consider figure 2. The first box in Panel B shows all stimuli for the </w:t>
      </w:r>
      <w:r>
        <w:rPr>
          <w:i/>
          <w:iCs/>
        </w:rPr>
        <w:t>Representation</w:t>
      </w:r>
      <w:r>
        <w:t xml:space="preserve"> condition. The first column exemplifies a set of targets (a blue square and circle) and referents (outline drawings of a square and circle). During test, participants are presented with four test trials per condition, each composed of the shapes of a single column. During testing, a child sees each trial combination only once and with only one of the two possible cues. Across children, the position (left/right) of the referent, and the identity of the cue are counterbalanced.</w:t>
      </w:r>
    </w:p>
    <w:p w14:paraId="56024140" w14:textId="77777777" w:rsidR="00AE3AC5" w:rsidRDefault="00000000" w:rsidP="00FD67B5">
      <w:pPr>
        <w:pStyle w:val="berschrift2"/>
        <w:jc w:val="both"/>
      </w:pPr>
      <w:bookmarkStart w:id="6" w:name="data-handling-and-analyses"/>
      <w:bookmarkEnd w:id="5"/>
      <w:r>
        <w:t>Data Handling and Analyses</w:t>
      </w:r>
    </w:p>
    <w:p w14:paraId="2F8E2325" w14:textId="77777777" w:rsidR="00AE3AC5" w:rsidRDefault="00000000" w:rsidP="00FD67B5">
      <w:pPr>
        <w:pStyle w:val="FirstParagraph"/>
        <w:jc w:val="both"/>
      </w:pPr>
      <w:r>
        <w:t xml:space="preserve">Children’s choices were logged by the experimental script as correct or incorrect. The analyses modeled children’s binary choices to estimate the probability of interpreting cues correctly and evalutate how this varied as a function of age and condition. We fitted Bayesian logistic generalized linear mixed models (GLMMs) with fixed effects for condition, standardized age, their interaction, as well as trial number, and sex. To account for subject-level variability, we </w:t>
      </w:r>
      <w:r>
        <w:lastRenderedPageBreak/>
        <w:t xml:space="preserve">included random intercepts and random slopes for trial number by participant. Age and trial number were standardized prior to modeling. The full model notation was </w:t>
      </w:r>
      <w:r>
        <w:rPr>
          <w:rStyle w:val="VerbatimChar"/>
        </w:rPr>
        <w:t>correct ~ condition*z.age + z.trial + sex + (z.trial | subid)</w:t>
      </w:r>
      <w:r>
        <w:t xml:space="preserve">. To evaluate the relevance of age and condition for children’s performance, a full model was compared with a reduced model lacking the interaction of age and condition using Widely Applicable Information Criterion (WAIC) scores and weights (McElreath, 2018) as well as the difference in Expected Log Predictive Density (ELPD) via the function </w:t>
      </w:r>
      <w:r>
        <w:rPr>
          <w:i/>
          <w:iCs/>
        </w:rPr>
        <w:t>loo_compare</w:t>
      </w:r>
      <w:r>
        <w:t xml:space="preserve">. In all studies, the preregistered full model appeared superior or equally predictive as the null model. Model estimates were inspected for the different predictors including their 95% Credible Interval (CrI). In each study, the condition hypothesized as the most simple was set as the reference level within conditions. To evaluate variability at the level of the items tested, additional exploratory analyses included item level random effects (Model notation </w:t>
      </w:r>
      <w:r>
        <w:rPr>
          <w:rStyle w:val="VerbatimChar"/>
        </w:rPr>
        <w:t>correct ~ condition*z.age +z.trial +z.sex +(z.trial|id) +(z.age|item)</w:t>
      </w:r>
      <w:r>
        <w:t xml:space="preserve">). All Bayesian models used default priors and were run in Stan (Stan Development Team, n.d.) via the function </w:t>
      </w:r>
      <w:r>
        <w:rPr>
          <w:i/>
          <w:iCs/>
        </w:rPr>
        <w:t>brm</w:t>
      </w:r>
      <w:r>
        <w:t xml:space="preserve"> of the package </w:t>
      </w:r>
      <w:r>
        <w:rPr>
          <w:i/>
          <w:iCs/>
        </w:rPr>
        <w:t>brms</w:t>
      </w:r>
      <w:r>
        <w:t xml:space="preserve"> (Bürkner, 2017). To answer the main research question of when children as a group systematically make correct choices in any of the conditions outlined below, we followed the approach of House and colleagues (House et al., 2013) and plotted the model estimates graphically as a smoothed curve surrounded by the respective confidence intervals. We fitted models to predict the developmental trajectory (with 95% CrI) of group level performance drawn from values of the posterior predicted distribution via the function </w:t>
      </w:r>
      <w:r>
        <w:rPr>
          <w:i/>
          <w:iCs/>
        </w:rPr>
        <w:t>fitted</w:t>
      </w:r>
      <w:r>
        <w:t xml:space="preserve">. These trajectories and CrIs were plotted by age. The criterion for settling when children performed above chance was the point at which the lower bound of the 95% CrI for a particular trajectory did no longer overlap with a mid-line demarcating the 50% chance level. All analyses were preregistered prior to data collection. Analyses deviate from the preregistered analyses when comparing models via ELPD differences </w:t>
      </w:r>
      <w:r>
        <w:lastRenderedPageBreak/>
        <w:t>(Sivula, Magnusson, Matamoros, &amp; Vehtari, 2020). This was simply not as common by the time of preregistration.</w:t>
      </w:r>
    </w:p>
    <w:p w14:paraId="7AE715AF" w14:textId="77777777" w:rsidR="00AE3AC5" w:rsidRDefault="00000000" w:rsidP="00FD67B5">
      <w:pPr>
        <w:pStyle w:val="Textkrper"/>
        <w:jc w:val="both"/>
      </w:pPr>
      <w:r>
        <w:t xml:space="preserve">For brevity, tables outlining the coefficients for the final models were moved to the supplementary materials along with the exploratory item-level analyses outlined above. The supplements also provide conventional analyses binning participants according to their age in years. To test whether group-level performance was above chance in all experimental groups, two-tailed one-sample t-tests with a chance level set to .5 were computed and are accompanied by Cohen’s </w:t>
      </w:r>
      <w:r>
        <w:rPr>
          <w:i/>
          <w:iCs/>
        </w:rPr>
        <w:t>d</w:t>
      </w:r>
      <w:r>
        <w:t xml:space="preserve"> as a standardized effect size for significance testing.</w:t>
      </w:r>
    </w:p>
    <w:p w14:paraId="0E37D336" w14:textId="77777777" w:rsidR="00AE3AC5" w:rsidRDefault="00000000">
      <w:pPr>
        <w:pStyle w:val="berschrift1"/>
      </w:pPr>
      <w:bookmarkStart w:id="7" w:name="study-1"/>
      <w:bookmarkEnd w:id="1"/>
      <w:bookmarkEnd w:id="6"/>
      <w:r>
        <w:t>Study 1</w:t>
      </w:r>
    </w:p>
    <w:p w14:paraId="0EAE832E" w14:textId="77777777" w:rsidR="00AE3AC5" w:rsidRDefault="00000000" w:rsidP="00FD67B5">
      <w:pPr>
        <w:pStyle w:val="FirstParagraph"/>
        <w:jc w:val="bot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From this, three further conditions were derived that were also employing form or shape as a means for establishing reference but that were less iconic by either reducing the amount of information provided (</w:t>
      </w:r>
      <w:r>
        <w:rPr>
          <w:i/>
          <w:iCs/>
        </w:rPr>
        <w:t>Pars Pro Toto</w:t>
      </w:r>
      <w:r>
        <w:t>), or the amount of similarity between symbol and referent (</w:t>
      </w:r>
      <w:r>
        <w:rPr>
          <w:i/>
          <w:iCs/>
        </w:rPr>
        <w:t>Simple Form Analogy</w:t>
      </w:r>
      <w:r>
        <w:t xml:space="preserve">, </w:t>
      </w:r>
      <w:r>
        <w:rPr>
          <w:i/>
          <w:iCs/>
        </w:rPr>
        <w:t>Complex Form Analogy).</w:t>
      </w:r>
      <w:r>
        <w:t xml:space="preserve"> We hypothesized (and preregistered)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w:t>
      </w:r>
    </w:p>
    <w:p w14:paraId="57EB36E7" w14:textId="77777777" w:rsidR="00AE3AC5" w:rsidRDefault="00000000" w:rsidP="00FD67B5">
      <w:pPr>
        <w:pStyle w:val="berschrift2"/>
        <w:jc w:val="both"/>
      </w:pPr>
      <w:bookmarkStart w:id="8" w:name="stimuli"/>
      <w:r>
        <w:t>Stimuli</w:t>
      </w:r>
    </w:p>
    <w:p w14:paraId="75A628C9" w14:textId="77777777" w:rsidR="00AE3AC5" w:rsidRDefault="00000000" w:rsidP="00FD67B5">
      <w:pPr>
        <w:pStyle w:val="FirstParagraph"/>
        <w:jc w:val="both"/>
      </w:pPr>
      <w:r>
        <w:t xml:space="preserve">To make the four conditions in study 1 as comparable as possible, they are all employing the same target stimuli (cf. figure 2, panels A and B). In addition the two referents within a trial can be seen as the round and square equivalents of each other. For the condition </w:t>
      </w:r>
      <w:r>
        <w:rPr>
          <w:i/>
          <w:iCs/>
        </w:rPr>
        <w:t>Representation,</w:t>
      </w:r>
      <w:r>
        <w:t xml:space="preserve"> the graphical cue is an outline drawing, of the referent. The second condition, </w:t>
      </w:r>
      <w:r>
        <w:rPr>
          <w:i/>
          <w:iCs/>
        </w:rPr>
        <w:t>Pars Pro Toto,</w:t>
      </w:r>
      <w:r>
        <w:t xml:space="preserve"> </w:t>
      </w:r>
      <w:r>
        <w:lastRenderedPageBreak/>
        <w:t xml:space="preserve">refers to the targets by means of a part-whole relationship. This is still in principle representational but provides less information and may require children to complete the shapes according to gestalt principles. While this completion is easiest in the first two items of </w:t>
      </w:r>
      <w:r>
        <w:rPr>
          <w:i/>
          <w:iCs/>
        </w:rPr>
        <w:t>Pars pro Toto</w:t>
      </w:r>
      <w:r>
        <w:t xml:space="preserve"> due to the canonical shapes (square, circle) it is less obvious with the less canonical shapes albeit they are vertically and horizontally symmetrical on purpose (cf. 2 B, box 2). For comparability, </w:t>
      </w:r>
      <w:r>
        <w:rPr>
          <w:i/>
          <w:iCs/>
        </w:rPr>
        <w:t>Pars Pro Toto</w:t>
      </w:r>
      <w:r>
        <w:t xml:space="preserve"> uses the same graphical cues as </w:t>
      </w:r>
      <w:r>
        <w:rPr>
          <w:i/>
          <w:iCs/>
        </w:rPr>
        <w:t>Representation</w:t>
      </w:r>
      <w:r>
        <w: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in Study 1, see figure 2 B.</w:t>
      </w:r>
    </w:p>
    <w:p w14:paraId="0277A44E" w14:textId="77777777" w:rsidR="00AE3AC5" w:rsidRDefault="00000000" w:rsidP="00FD67B5">
      <w:pPr>
        <w:pStyle w:val="berschrift2"/>
        <w:jc w:val="both"/>
      </w:pPr>
      <w:bookmarkStart w:id="9" w:name="participants-and-sample"/>
      <w:bookmarkEnd w:id="8"/>
      <w:r>
        <w:t>Participants and Sample</w:t>
      </w:r>
    </w:p>
    <w:p w14:paraId="42E6EC6C" w14:textId="77777777" w:rsidR="00AE3AC5" w:rsidRDefault="00000000" w:rsidP="00FD67B5">
      <w:pPr>
        <w:pStyle w:val="FirstParagraph"/>
        <w:jc w:val="both"/>
      </w:pPr>
      <w:r>
        <w:t xml:space="preserve">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w:t>
      </w:r>
      <w:r>
        <w:lastRenderedPageBreak/>
        <w:t>of 1688 trials (mean per condition = 422, range: 420 - 424) from 106 participants were submitted for analysis.</w:t>
      </w:r>
    </w:p>
    <w:p w14:paraId="3008CBE5" w14:textId="77777777" w:rsidR="00AE3AC5" w:rsidRDefault="00000000" w:rsidP="00FD67B5">
      <w:pPr>
        <w:pStyle w:val="berschrift2"/>
        <w:jc w:val="both"/>
      </w:pPr>
      <w:bookmarkStart w:id="10" w:name="results"/>
      <w:bookmarkEnd w:id="9"/>
      <w:r>
        <w:t>Results</w:t>
      </w:r>
    </w:p>
    <w:p w14:paraId="5C82E6CF" w14:textId="77777777" w:rsidR="00AE3AC5" w:rsidRDefault="00000000" w:rsidP="00FD67B5">
      <w:pPr>
        <w:pStyle w:val="FirstParagraph"/>
        <w:jc w:val="bot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24DD6C24" w14:textId="77777777" w:rsidR="00AE3AC5" w:rsidRDefault="00000000" w:rsidP="00FD67B5">
      <w:pPr>
        <w:pStyle w:val="Textkrper"/>
        <w:jc w:val="both"/>
      </w:pPr>
      <w:r>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5D8A6BDB" w14:textId="77777777" w:rsidR="00AE3AC5" w:rsidRDefault="00000000" w:rsidP="00FD67B5">
      <w:pPr>
        <w:pStyle w:val="Textkrper"/>
        <w:jc w:val="both"/>
      </w:pPr>
      <w:r>
        <w:t xml:space="preserve">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reference condition (</w:t>
      </w:r>
      <m:oMath>
        <m:r>
          <w:rPr>
            <w:rFonts w:ascii="Cambria Math" w:hAnsi="Cambria Math"/>
          </w:rPr>
          <m:t>β</m:t>
        </m:r>
      </m:oMath>
      <w:r>
        <w:t xml:space="preserve"> = -0.14, 95% CrI [-0.54, 0.28]). Interaction effects with age were not </w:t>
      </w:r>
      <w:r>
        <w:lastRenderedPageBreak/>
        <w:t xml:space="preserve">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reference condition </w:t>
      </w:r>
      <w:r>
        <w:rPr>
          <w:i/>
          <w:iCs/>
        </w:rPr>
        <w:t>Representation</w:t>
      </w:r>
      <w:r>
        <w:t>.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see figure 2.</w:t>
      </w:r>
    </w:p>
    <w:p w14:paraId="2258950A" w14:textId="77777777" w:rsidR="00AE3AC5" w:rsidRDefault="00000000" w:rsidP="00FD67B5">
      <w:pPr>
        <w:pStyle w:val="CaptionedFigure"/>
        <w:framePr w:wrap="notBeside"/>
        <w:jc w:val="both"/>
      </w:pPr>
      <w:r>
        <w:rPr>
          <w:noProof/>
        </w:rPr>
        <w:drawing>
          <wp:inline distT="0" distB="0" distL="0" distR="0" wp14:anchorId="67923710" wp14:editId="6F5755A0">
            <wp:extent cx="5670550" cy="3465883"/>
            <wp:effectExtent l="0" t="0" r="0" b="0"/>
            <wp:docPr id="38" name="Picture"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39" name="Picture" descr="../illustrations/S1_complete.png"/>
                    <pic:cNvPicPr>
                      <a:picLocks noChangeAspect="1" noChangeArrowheads="1"/>
                    </pic:cNvPicPr>
                  </pic:nvPicPr>
                  <pic:blipFill>
                    <a:blip r:embed="rId14"/>
                    <a:stretch>
                      <a:fillRect/>
                    </a:stretch>
                  </pic:blipFill>
                  <pic:spPr bwMode="auto">
                    <a:xfrm>
                      <a:off x="0" y="0"/>
                      <a:ext cx="5670550" cy="3465883"/>
                    </a:xfrm>
                    <a:prstGeom prst="rect">
                      <a:avLst/>
                    </a:prstGeom>
                    <a:noFill/>
                    <a:ln w="9525">
                      <a:noFill/>
                      <a:headEnd/>
                      <a:tailEnd/>
                    </a:ln>
                  </pic:spPr>
                </pic:pic>
              </a:graphicData>
            </a:graphic>
          </wp:inline>
        </w:drawing>
      </w:r>
    </w:p>
    <w:p w14:paraId="3B5A6A5D" w14:textId="77777777" w:rsidR="00AE3AC5" w:rsidRDefault="00000000" w:rsidP="00FD67B5">
      <w:pPr>
        <w:pStyle w:val="ImageCaption"/>
        <w:jc w:val="both"/>
      </w:pPr>
      <w:bookmarkStart w:id="11" w:name="fig:plot-study1"/>
      <w:bookmarkEnd w:id="11"/>
      <w:r>
        <w:rPr>
          <w:i/>
          <w:iCs/>
        </w:rPr>
        <w:lastRenderedPageBreak/>
        <w:t>Figure</w:t>
      </w:r>
      <w:r>
        <w:t xml:space="preserve"> 2.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16AF4170" w14:textId="77777777" w:rsidR="00AE3AC5" w:rsidRDefault="00000000" w:rsidP="00FD67B5">
      <w:pPr>
        <w:pStyle w:val="berschrift2"/>
        <w:jc w:val="both"/>
      </w:pPr>
      <w:bookmarkStart w:id="12" w:name="discussion"/>
      <w:bookmarkEnd w:id="10"/>
      <w:r>
        <w:t>Discussion</w:t>
      </w:r>
    </w:p>
    <w:p w14:paraId="5C6E1C62" w14:textId="77777777" w:rsidR="00AE3AC5" w:rsidRDefault="00000000" w:rsidP="00FD67B5">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In the context of all other conditions reported below, this result establishes that the task design and setup are sufficiently clear even for the youngest children in the sample and worked well across the wide age-range of four years from the end of toddlerhood up into school age. </w:t>
      </w:r>
      <w:r>
        <w:rPr>
          <w:i/>
          <w:iCs/>
        </w:rPr>
        <w:t>Representation</w:t>
      </w:r>
      <w:r>
        <w:t xml:space="preserve">, thus, provides a robust and clear conceptual canvass against which the developmental patterns of all other symbol-referent relationships can be discussed. Despite using identical targets as in </w:t>
      </w:r>
      <w:r>
        <w:rPr>
          <w:i/>
          <w:iCs/>
        </w:rPr>
        <w:t>Representation,</w:t>
      </w:r>
      <w:r>
        <w:t xml:space="preserve"> children succeed only at 38 months in </w:t>
      </w:r>
      <w:r>
        <w:rPr>
          <w:i/>
          <w:iCs/>
        </w:rPr>
        <w:t>Pars Pro Toto</w:t>
      </w:r>
      <w:r>
        <w:t xml:space="preserve">. The interaction with age shows that performance improves more quickly with age and that the area covered by the upper and lower CrI bounds shrinks considerably across the age range. </w:t>
      </w:r>
      <w:r>
        <w:rPr>
          <w:i/>
          <w:iCs/>
        </w:rPr>
        <w:t>Pars Pro Toto</w:t>
      </w:r>
      <w:r>
        <w:t xml:space="preserve">, hence, stands out as a clear example for a task that children come to master early and within the age-range tested here, that generally is not demanding for preschoolers in general. In the more abstract conditions </w:t>
      </w:r>
      <w:r>
        <w:rPr>
          <w:i/>
          <w:iCs/>
        </w:rPr>
        <w:t>Simple Form Analogy</w:t>
      </w:r>
      <w:r>
        <w:t xml:space="preserve"> and </w:t>
      </w:r>
      <w:r>
        <w:rPr>
          <w:i/>
          <w:iCs/>
        </w:rPr>
        <w:t>Complex Form Analogy</w:t>
      </w:r>
      <w:r>
        <w:t xml:space="preserve">, preschoolers meet criterion at 47 and 50 months respectively. Both appear equally difficult for participants and provide examples for symbol-referent relationships that remain demanding for the oldest children in the sample. They </w:t>
      </w:r>
      <w:r>
        <w:lastRenderedPageBreak/>
        <w:t xml:space="preserve">are based in visual similarity, but are conceptually demanding at the same time. With regard to the influence of surface features, group level success occurs slightly earlier with the reduced cues employed in </w:t>
      </w:r>
      <w:r>
        <w:rPr>
          <w:i/>
          <w:iCs/>
        </w:rPr>
        <w:t>Simple Form Analogy</w:t>
      </w:r>
      <w:r>
        <w:t xml:space="preserve"> (Richland, Morrison, &amp; Holyoak, 2006).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0743CC5F" w14:textId="77777777" w:rsidR="00AE3AC5" w:rsidRDefault="00000000">
      <w:pPr>
        <w:pStyle w:val="berschrift1"/>
      </w:pPr>
      <w:bookmarkStart w:id="13" w:name="study-2"/>
      <w:bookmarkEnd w:id="7"/>
      <w:bookmarkEnd w:id="12"/>
      <w:r>
        <w:t>Study 2</w:t>
      </w:r>
    </w:p>
    <w:p w14:paraId="4F041A26" w14:textId="77777777" w:rsidR="00AE3AC5" w:rsidRDefault="00000000" w:rsidP="00FD67B5">
      <w:pPr>
        <w:pStyle w:val="FirstParagraph"/>
        <w:jc w:val="both"/>
      </w:pPr>
      <w:r>
        <w:t xml:space="preserve">The conditions in study 2 continue to abstract from a representational symbol-referent relationship by using different shapes for both cue and target stimuli. The conditions here, draw on gestalt-principles like figure-ground-relationship, continuity and parallelism. The symbol-referent-relationship in </w:t>
      </w:r>
      <w:r>
        <w:rPr>
          <w:i/>
          <w:iCs/>
        </w:rPr>
        <w:t>Absolute Position</w:t>
      </w:r>
      <w:r>
        <w:t xml:space="preserve"> is established by the respective cue and target sharing the same position with regard to the reference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The preregistered hypothesis, assumed children to perform above chance first in </w:t>
      </w:r>
      <w:r>
        <w:rPr>
          <w:i/>
          <w:iCs/>
        </w:rPr>
        <w:t>Orientation of Object</w:t>
      </w:r>
      <w:r>
        <w:t xml:space="preserve">, then </w:t>
      </w:r>
      <w:r>
        <w:rPr>
          <w:i/>
          <w:iCs/>
        </w:rPr>
        <w:t>Orientation of Feature</w:t>
      </w:r>
      <w:r>
        <w:t xml:space="preserve">, </w:t>
      </w:r>
      <w:r>
        <w:rPr>
          <w:i/>
          <w:iCs/>
        </w:rPr>
        <w:t>Absolute Position</w:t>
      </w:r>
      <w:r>
        <w:t xml:space="preserve"> and finally </w:t>
      </w:r>
      <w:r>
        <w:rPr>
          <w:i/>
          <w:iCs/>
        </w:rPr>
        <w:t>Relative Position</w:t>
      </w:r>
      <w:r>
        <w:t>.</w:t>
      </w:r>
    </w:p>
    <w:p w14:paraId="6B6C0223" w14:textId="77777777" w:rsidR="00AE3AC5" w:rsidRDefault="00000000" w:rsidP="00FD67B5">
      <w:pPr>
        <w:pStyle w:val="berschrift2"/>
        <w:jc w:val="both"/>
      </w:pPr>
      <w:bookmarkStart w:id="14" w:name="stimuli-1"/>
      <w:r>
        <w:t>Stimuli</w:t>
      </w:r>
    </w:p>
    <w:p w14:paraId="299AECDB" w14:textId="77777777" w:rsidR="00AE3AC5" w:rsidRDefault="00000000" w:rsidP="00FD67B5">
      <w:pPr>
        <w:pStyle w:val="FirstParagraph"/>
        <w:jc w:val="both"/>
      </w:pPr>
      <w:r>
        <w:t xml:space="preserve">For comparability, </w:t>
      </w:r>
      <w:r>
        <w:rPr>
          <w:i/>
          <w:iCs/>
        </w:rPr>
        <w:t>Absolute Position</w:t>
      </w:r>
      <w:r>
        <w:t xml:space="preserve"> and </w:t>
      </w:r>
      <w:r>
        <w:rPr>
          <w:i/>
          <w:iCs/>
        </w:rPr>
        <w:t>Relative Position</w:t>
      </w:r>
      <w:r>
        <w:t xml:space="preserve"> employed the same distinct shapes as cue and target respectively (circle vs. square, cross). In </w:t>
      </w:r>
      <w:r>
        <w:rPr>
          <w:i/>
          <w:iCs/>
        </w:rPr>
        <w:t>Absolute Position</w:t>
      </w:r>
      <w:r>
        <w:t xml:space="preserve"> target </w:t>
      </w:r>
      <w:r>
        <w:lastRenderedPageBreak/>
        <w:t xml:space="preserve">positions were placed in top and bottom, or central and peripheral conditions in half of trails. For </w:t>
      </w:r>
      <w:r>
        <w:rPr>
          <w:i/>
          <w:iCs/>
        </w:rPr>
        <w:t>Relative Position</w:t>
      </w:r>
      <w:r>
        <w:t xml:space="preserve">, two trials present target stimuli that are closer together or further apart, as well as another two trials with target components being aligned on a horizontal or vertical axis. To ensure that cue and target are maximally distinct in all dimensions, cues and target items do not allign on the same axis. As in study 1, cues and targets are either round and rectangular shapes in these conditions. To convey a sense of direction in </w:t>
      </w:r>
      <w:r>
        <w:rPr>
          <w:i/>
          <w:iCs/>
        </w:rPr>
        <w:t>Orientation of Object,</w:t>
      </w:r>
      <w:r>
        <w:t xml:space="preserve"> cues and targets feature elongated shapes that are aligned either on a horizontal, vertical, or diagonal axis with rising or falling slope. The shapes are distinct oblong elipses and rectangles or abstract shapes with more or less round or square features. For </w:t>
      </w:r>
      <w:r>
        <w:rPr>
          <w:i/>
          <w:iCs/>
        </w:rPr>
        <w:t>Orientation of Feature</w:t>
      </w:r>
      <w:r>
        <w:t>, targets and cues are either circles or squares with a salient feature like an opening or a dent. For an overview of all stimuli per condition in Study 2, see figure 3.</w:t>
      </w:r>
    </w:p>
    <w:p w14:paraId="377D5604" w14:textId="77777777" w:rsidR="00AE3AC5" w:rsidRDefault="00000000" w:rsidP="00FD67B5">
      <w:pPr>
        <w:pStyle w:val="berschrift2"/>
        <w:jc w:val="both"/>
      </w:pPr>
      <w:bookmarkStart w:id="15" w:name="participants-and-sample-1"/>
      <w:bookmarkEnd w:id="14"/>
      <w:r>
        <w:t>Participants and Sample</w:t>
      </w:r>
    </w:p>
    <w:p w14:paraId="5E59A3BB" w14:textId="77777777" w:rsidR="00AE3AC5" w:rsidRDefault="00000000" w:rsidP="00FD67B5">
      <w:pPr>
        <w:pStyle w:val="FirstParagraph"/>
        <w:jc w:val="both"/>
      </w:pPr>
      <w:r>
        <w:t>A total of 99 three- to seven-year-old children (M = 60.04 months, SD = 13.69 months, range 36 - 83 months; 49 female) participated.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p>
    <w:p w14:paraId="2FEB1354" w14:textId="77777777" w:rsidR="00AE3AC5" w:rsidRDefault="00000000" w:rsidP="00FD67B5">
      <w:pPr>
        <w:pStyle w:val="berschrift2"/>
        <w:jc w:val="both"/>
      </w:pPr>
      <w:bookmarkStart w:id="16" w:name="results-1"/>
      <w:bookmarkEnd w:id="15"/>
      <w:r>
        <w:t>Results</w:t>
      </w:r>
    </w:p>
    <w:p w14:paraId="6851418C" w14:textId="77777777" w:rsidR="00AE3AC5" w:rsidRDefault="00000000" w:rsidP="00FD67B5">
      <w:pPr>
        <w:pStyle w:val="FirstParagraph"/>
        <w:jc w:val="both"/>
      </w:pPr>
      <w:r>
        <w:t xml:space="preserve">For both full and null model, PPCs indicate excellent fit of observed data and model predictions. Rhat values in both models were equal to one, indicating convergence across all chains. Effective sample sizes for all fixed effects in the full model (Bulk ESS, mean = 6149, </w:t>
      </w:r>
      <w:r>
        <w:lastRenderedPageBreak/>
        <w:t>range 3485 - 7545) and the null model (Bulk ESS, mean = 6877, range 3839 - 10040) were &gt; 1000, indicating reliable posterior estimations.</w:t>
      </w:r>
    </w:p>
    <w:p w14:paraId="104C955E" w14:textId="77777777" w:rsidR="00AE3AC5" w:rsidRDefault="00000000" w:rsidP="00FD67B5">
      <w:pPr>
        <w:pStyle w:val="Textkrper"/>
        <w:jc w:val="both"/>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650AF423" w14:textId="77777777" w:rsidR="00AE3AC5" w:rsidRDefault="00000000" w:rsidP="00FD67B5">
      <w:pPr>
        <w:pStyle w:val="Textkrper"/>
        <w:jc w:val="both"/>
      </w:pPr>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Relative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when considering the full age range. Interaction terms between age and condition were not credibly different from zero, suggesting similar developmental patterns for all conditions. For a side-by-side comparison of the developmental trajectories, see figure 3.</w:t>
      </w:r>
    </w:p>
    <w:p w14:paraId="7044DD5F" w14:textId="77777777" w:rsidR="00AE3AC5" w:rsidRDefault="00000000" w:rsidP="00FD67B5">
      <w:pPr>
        <w:pStyle w:val="CaptionedFigure"/>
        <w:framePr w:wrap="notBeside"/>
        <w:jc w:val="both"/>
      </w:pPr>
      <w:r>
        <w:rPr>
          <w:noProof/>
        </w:rPr>
        <w:lastRenderedPageBreak/>
        <w:drawing>
          <wp:inline distT="0" distB="0" distL="0" distR="0" wp14:anchorId="047CBBC9" wp14:editId="403CCDC9">
            <wp:extent cx="5670550" cy="3465883"/>
            <wp:effectExtent l="0" t="0" r="0" b="0"/>
            <wp:docPr id="47" name="Picture"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48" name="Picture" descr="../illustrations/S2_complete.png"/>
                    <pic:cNvPicPr>
                      <a:picLocks noChangeAspect="1" noChangeArrowheads="1"/>
                    </pic:cNvPicPr>
                  </pic:nvPicPr>
                  <pic:blipFill>
                    <a:blip r:embed="rId15"/>
                    <a:stretch>
                      <a:fillRect/>
                    </a:stretch>
                  </pic:blipFill>
                  <pic:spPr bwMode="auto">
                    <a:xfrm>
                      <a:off x="0" y="0"/>
                      <a:ext cx="5670550" cy="3465883"/>
                    </a:xfrm>
                    <a:prstGeom prst="rect">
                      <a:avLst/>
                    </a:prstGeom>
                    <a:noFill/>
                    <a:ln w="9525">
                      <a:noFill/>
                      <a:headEnd/>
                      <a:tailEnd/>
                    </a:ln>
                  </pic:spPr>
                </pic:pic>
              </a:graphicData>
            </a:graphic>
          </wp:inline>
        </w:drawing>
      </w:r>
    </w:p>
    <w:p w14:paraId="1CED6C9E" w14:textId="77777777" w:rsidR="00AE3AC5" w:rsidRDefault="00000000" w:rsidP="00FD67B5">
      <w:pPr>
        <w:pStyle w:val="ImageCaption"/>
        <w:jc w:val="both"/>
      </w:pPr>
      <w:bookmarkStart w:id="17" w:name="fig:plot-study2"/>
      <w:bookmarkEnd w:id="17"/>
      <w:r>
        <w:rPr>
          <w:i/>
          <w:iCs/>
        </w:rPr>
        <w:t>Figure</w:t>
      </w:r>
      <w:r>
        <w:t xml:space="preserve"> 3.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5B6C9A7A" w14:textId="77777777" w:rsidR="00AE3AC5" w:rsidRDefault="00000000" w:rsidP="00FD67B5">
      <w:pPr>
        <w:pStyle w:val="berschrift2"/>
        <w:jc w:val="both"/>
      </w:pPr>
      <w:bookmarkStart w:id="18" w:name="discussion-1"/>
      <w:bookmarkEnd w:id="16"/>
      <w:r>
        <w:t>Discussion</w:t>
      </w:r>
    </w:p>
    <w:p w14:paraId="706F132F" w14:textId="77777777" w:rsidR="00AE3AC5" w:rsidRDefault="00000000" w:rsidP="00FD67B5">
      <w:pPr>
        <w:pStyle w:val="FirstParagraph"/>
        <w:jc w:val="both"/>
      </w:pPr>
      <w:r>
        <w:t xml:space="preserve">Analyses established that children master the condition </w:t>
      </w:r>
      <w:r>
        <w:rPr>
          <w:i/>
          <w:iCs/>
        </w:rPr>
        <w:t>Absolute Position</w:t>
      </w:r>
      <w:r>
        <w:t xml:space="preserve"> at 45 months, making it the easiest task in study 2. Then in quick succession, children succeed in </w:t>
      </w:r>
      <w:r>
        <w:rPr>
          <w:i/>
          <w:iCs/>
        </w:rPr>
        <w:t>Orientation of Feature</w:t>
      </w:r>
      <w:r>
        <w:t xml:space="preserve"> at 46 months, </w:t>
      </w:r>
      <w:r>
        <w:rPr>
          <w:i/>
          <w:iCs/>
        </w:rPr>
        <w:t>Relative Position</w:t>
      </w:r>
      <w:r>
        <w:t xml:space="preserve"> at 49 months and </w:t>
      </w:r>
      <w:r>
        <w:rPr>
          <w:i/>
          <w:iCs/>
        </w:rPr>
        <w:t>Orientation of Object</w:t>
      </w:r>
      <w:r>
        <w:t xml:space="preserve"> at 50 months. We hypothesized that children as a group would perform above chance earlier with </w:t>
      </w:r>
      <w:r>
        <w:rPr>
          <w:i/>
          <w:iCs/>
        </w:rPr>
        <w:t>Absolute Position</w:t>
      </w:r>
      <w:r>
        <w:t xml:space="preserve"> than with </w:t>
      </w:r>
      <w:r>
        <w:rPr>
          <w:i/>
          <w:iCs/>
        </w:rPr>
        <w:t>Relative Position</w:t>
      </w:r>
      <w:r>
        <w:t xml:space="preserve"> due to the latter obviously requiring children to integrate a higher number of items. Results confirm this assumption with a clear 5-months offset in the age </w:t>
      </w:r>
      <w:r>
        <w:lastRenderedPageBreak/>
        <w:t xml:space="preserve">of success. We hypothesized further that children would succeed earlier with </w:t>
      </w:r>
      <w:r>
        <w:rPr>
          <w:i/>
          <w:iCs/>
        </w:rPr>
        <w:t>Orientation of Object</w:t>
      </w:r>
      <w:r>
        <w:t xml:space="preserve"> than </w:t>
      </w:r>
      <w:r>
        <w:rPr>
          <w:i/>
          <w:iCs/>
        </w:rPr>
        <w:t>Orientation of Feature</w:t>
      </w:r>
      <w:r>
        <w:t xml:space="preserve">, due to the necessity of evaluating the composition of a target item rather than its general alignment with the cue. Here, we find the opposite to be true. The impression of direction or congruence between cue and target appears to be much more salient for children in graphic stimuli with a salient feature pointing out such as in </w:t>
      </w:r>
      <w:r>
        <w:rPr>
          <w:i/>
          <w:iCs/>
        </w:rPr>
        <w:t>Orientation of Feature</w:t>
      </w:r>
      <w:r>
        <w:t>, than an overall alignment in the horizontal, vertical or diagonal orientation.</w:t>
      </w:r>
    </w:p>
    <w:p w14:paraId="703FDC3F" w14:textId="77777777" w:rsidR="00AE3AC5" w:rsidRDefault="00000000">
      <w:pPr>
        <w:pStyle w:val="berschrift1"/>
      </w:pPr>
      <w:bookmarkStart w:id="19" w:name="study-3"/>
      <w:bookmarkEnd w:id="13"/>
      <w:bookmarkEnd w:id="18"/>
      <w:r>
        <w:t>Study 3</w:t>
      </w:r>
    </w:p>
    <w:p w14:paraId="5CF1458F" w14:textId="77777777" w:rsidR="00AE3AC5" w:rsidRDefault="00000000" w:rsidP="00FD67B5">
      <w:pPr>
        <w:pStyle w:val="FirstParagraph"/>
        <w:jc w:val="both"/>
      </w:pPr>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assign or extract conceptual order in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They are complemented by the conditions </w:t>
      </w:r>
      <w:r>
        <w:rPr>
          <w:i/>
          <w:iCs/>
        </w:rPr>
        <w:t>Size of Feature</w:t>
      </w:r>
      <w:r>
        <w:t xml:space="preserve"> and </w:t>
      </w:r>
      <w:r>
        <w:rPr>
          <w:i/>
          <w:iCs/>
        </w:rPr>
        <w:t>Number of Feature</w:t>
      </w:r>
      <w:r>
        <w:t xml:space="preserve"> in which the cues refer to a salient aspect of the target stimuli. In these cases, extracting conceptual information is arguably more demanding.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w:t>
      </w:r>
      <w:r>
        <w:lastRenderedPageBreak/>
        <w:t>referent relationships based in size than in number, and that children will succeed earlier when cues refer to a target object per se rather than a salient feature thereof.</w:t>
      </w:r>
    </w:p>
    <w:p w14:paraId="2F0675B6" w14:textId="77777777" w:rsidR="00AE3AC5" w:rsidRDefault="00000000" w:rsidP="00FD67B5">
      <w:pPr>
        <w:pStyle w:val="berschrift2"/>
        <w:jc w:val="both"/>
      </w:pPr>
      <w:bookmarkStart w:id="20" w:name="stimuli-2"/>
      <w:r>
        <w:t>Stimuli</w:t>
      </w:r>
    </w:p>
    <w:p w14:paraId="25DE9D23" w14:textId="77777777" w:rsidR="00AE3AC5" w:rsidRDefault="00000000" w:rsidP="00FD67B5">
      <w:pPr>
        <w:pStyle w:val="FirstParagraph"/>
        <w:jc w:val="both"/>
      </w:pPr>
      <w:r>
        <w:t xml:space="preserve">In </w:t>
      </w:r>
      <w:r>
        <w:rPr>
          <w:i/>
          <w:iCs/>
        </w:rPr>
        <w:t>Size of Object</w:t>
      </w:r>
      <w:r>
        <w:t xml:space="preserve"> the targets in a each trial are identical shapes that are either small or large with regard to the reference frame they are presented in. To make cue and target shapes as distinct as possible they are again employing either squares or circles respectively or fully abstract shapes such as a random scribble or straight lines (cf. figure 4 B). For comparability, </w:t>
      </w:r>
      <w:r>
        <w:rPr>
          <w:i/>
          <w:iCs/>
        </w:rPr>
        <w:t>Size of Feature</w:t>
      </w:r>
      <w:r>
        <w:t xml:space="preserve"> employs the same cues as </w:t>
      </w:r>
      <w:r>
        <w:rPr>
          <w:i/>
          <w:iCs/>
        </w:rPr>
        <w:t>Size of Object</w:t>
      </w:r>
      <w:r>
        <w:t xml:space="preserve">, but features target shapes with either a relatively large or small void, opening, or protrusion. In </w:t>
      </w:r>
      <w:r>
        <w:rPr>
          <w:i/>
          <w:iCs/>
        </w:rPr>
        <w:t>Number of Object</w:t>
      </w:r>
      <w:r>
        <w:t xml:space="preserve">, cues and targets are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share visually similarity by forming a similar pattern, which is difficult as such small number arrays lend themselves to being grouped into canonical shapes by Gestalt principles such as proximity and closure. This issue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the same cues as </w:t>
      </w:r>
      <w:r>
        <w:rPr>
          <w:i/>
          <w:iCs/>
        </w:rPr>
        <w:t>Number of Object</w:t>
      </w:r>
      <w:r>
        <w:t xml:space="preserve">. To evoke a sense of quantity in the closed forms serving as referents, the target shapes in </w:t>
      </w:r>
      <w:r>
        <w:rPr>
          <w:i/>
          <w:iCs/>
        </w:rPr>
        <w:t>Number of Feature</w:t>
      </w:r>
      <w:r>
        <w:t xml:space="preserve"> either have salient protrusions, or partial areas resulting from incisions. For an overview of all stimuli presented in Study 3, see figure 4.</w:t>
      </w:r>
    </w:p>
    <w:p w14:paraId="683F0F45" w14:textId="77777777" w:rsidR="00AE3AC5" w:rsidRDefault="00000000" w:rsidP="00FD67B5">
      <w:pPr>
        <w:pStyle w:val="berschrift2"/>
        <w:jc w:val="both"/>
      </w:pPr>
      <w:bookmarkStart w:id="21" w:name="participants-and-sample-2"/>
      <w:bookmarkEnd w:id="20"/>
      <w:r>
        <w:lastRenderedPageBreak/>
        <w:t>Participants and Sample</w:t>
      </w:r>
    </w:p>
    <w:p w14:paraId="5639B5D0" w14:textId="77777777" w:rsidR="00AE3AC5" w:rsidRDefault="00000000" w:rsidP="00FD67B5">
      <w:pPr>
        <w:pStyle w:val="FirstParagraph"/>
        <w:jc w:val="both"/>
      </w:pPr>
      <w:r>
        <w:t>A total of 99 three- to seven-year-old children (M = 59.88 months, SD = 13.44 months, range 36 - 83 months; 55 female) participated.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7F00CE0A" w14:textId="77777777" w:rsidR="00AE3AC5" w:rsidRDefault="00000000" w:rsidP="00FD67B5">
      <w:pPr>
        <w:pStyle w:val="berschrift2"/>
        <w:jc w:val="both"/>
      </w:pPr>
      <w:bookmarkStart w:id="22" w:name="results-2"/>
      <w:bookmarkEnd w:id="21"/>
      <w:r>
        <w:t>Results</w:t>
      </w:r>
    </w:p>
    <w:p w14:paraId="5CED61E6" w14:textId="77777777" w:rsidR="00AE3AC5" w:rsidRDefault="00000000" w:rsidP="00FD67B5">
      <w:pPr>
        <w:pStyle w:val="FirstParagraph"/>
        <w:jc w:val="both"/>
      </w:pPr>
      <w:r>
        <w:t>PPCs indicated excellent fit of observed data and model predictions in both models. Model diagnostics were drawn for the full and null model in study 3. Rhat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19D18F98" w14:textId="77777777" w:rsidR="00AE3AC5" w:rsidRDefault="00000000" w:rsidP="00FD67B5">
      <w:pPr>
        <w:pStyle w:val="Textkrper"/>
        <w:jc w:val="both"/>
      </w:pPr>
      <w:r>
        <w:t>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remains almost within the range of sampling uncertainty (SE = 3.97). In the absence of substantial differences, the full model is reported below in line with the preregistration.</w:t>
      </w:r>
    </w:p>
    <w:p w14:paraId="177E884C" w14:textId="77777777" w:rsidR="00AE3AC5" w:rsidRDefault="00000000" w:rsidP="00FD67B5">
      <w:pPr>
        <w:pStyle w:val="Textkrper"/>
        <w:jc w:val="both"/>
      </w:pPr>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w:t>
      </w:r>
      <w:r>
        <w:lastRenderedPageBreak/>
        <w:t xml:space="preserve">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Generally, the conditions relying on feature-based reference are associated with lower overall performance and weaker developmental gains. The best overview of the relative performance across conditions is provided by plotting the model estimates (cf. figure 4).</w:t>
      </w:r>
    </w:p>
    <w:p w14:paraId="6C3F896C" w14:textId="77777777" w:rsidR="00AE3AC5" w:rsidRDefault="00000000" w:rsidP="00FD67B5">
      <w:pPr>
        <w:pStyle w:val="CaptionedFigure"/>
        <w:framePr w:wrap="notBeside"/>
        <w:jc w:val="both"/>
      </w:pPr>
      <w:r>
        <w:rPr>
          <w:noProof/>
        </w:rPr>
        <w:drawing>
          <wp:inline distT="0" distB="0" distL="0" distR="0" wp14:anchorId="77AF6199" wp14:editId="1E4012A9">
            <wp:extent cx="5670550" cy="3465883"/>
            <wp:effectExtent l="0" t="0" r="0" b="0"/>
            <wp:docPr id="56" name="Picture" descr="Figure 4: Developmental Trajectories for all Conditions in Study 3.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
            <wp:cNvGraphicFramePr/>
            <a:graphic xmlns:a="http://schemas.openxmlformats.org/drawingml/2006/main">
              <a:graphicData uri="http://schemas.openxmlformats.org/drawingml/2006/picture">
                <pic:pic xmlns:pic="http://schemas.openxmlformats.org/drawingml/2006/picture">
                  <pic:nvPicPr>
                    <pic:cNvPr id="57" name="Picture" descr="../illustrations/S3_complete.png"/>
                    <pic:cNvPicPr>
                      <a:picLocks noChangeAspect="1" noChangeArrowheads="1"/>
                    </pic:cNvPicPr>
                  </pic:nvPicPr>
                  <pic:blipFill>
                    <a:blip r:embed="rId16"/>
                    <a:stretch>
                      <a:fillRect/>
                    </a:stretch>
                  </pic:blipFill>
                  <pic:spPr bwMode="auto">
                    <a:xfrm>
                      <a:off x="0" y="0"/>
                      <a:ext cx="5670550" cy="3465883"/>
                    </a:xfrm>
                    <a:prstGeom prst="rect">
                      <a:avLst/>
                    </a:prstGeom>
                    <a:noFill/>
                    <a:ln w="9525">
                      <a:noFill/>
                      <a:headEnd/>
                      <a:tailEnd/>
                    </a:ln>
                  </pic:spPr>
                </pic:pic>
              </a:graphicData>
            </a:graphic>
          </wp:inline>
        </w:drawing>
      </w:r>
    </w:p>
    <w:p w14:paraId="5C87EED1" w14:textId="77777777" w:rsidR="00AE3AC5" w:rsidRDefault="00000000" w:rsidP="00FD67B5">
      <w:pPr>
        <w:pStyle w:val="ImageCaption"/>
        <w:jc w:val="both"/>
      </w:pPr>
      <w:bookmarkStart w:id="23" w:name="fig:plot-study3"/>
      <w:bookmarkEnd w:id="23"/>
      <w:r>
        <w:rPr>
          <w:i/>
          <w:iCs/>
        </w:rPr>
        <w:lastRenderedPageBreak/>
        <w:t>Figure</w:t>
      </w:r>
      <w:r>
        <w:t xml:space="preserve"> 4. </w:t>
      </w:r>
      <w:r>
        <w:rPr>
          <w:i/>
          <w:iCs/>
        </w:rPr>
        <w:t>Developmental Trajectories for all Conditions in Study 3.</w:t>
      </w:r>
      <w:r>
        <w:t xml:space="preserve">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w:t>
      </w:r>
    </w:p>
    <w:p w14:paraId="65E1A80F" w14:textId="77777777" w:rsidR="00AE3AC5" w:rsidRDefault="00000000">
      <w:pPr>
        <w:pStyle w:val="berschrift2"/>
      </w:pPr>
      <w:bookmarkStart w:id="24" w:name="discussion-2"/>
      <w:bookmarkEnd w:id="22"/>
      <w:r>
        <w:t>Discussion</w:t>
      </w:r>
    </w:p>
    <w:p w14:paraId="1CF92304" w14:textId="77777777" w:rsidR="00AE3AC5" w:rsidRDefault="00000000">
      <w:pPr>
        <w:pStyle w:val="FirstParagraph"/>
      </w:pPr>
      <w:r>
        <w:t xml:space="preserve">Children succeed in most conditions just after the fourth birthday. Model estimates indicate group level success in </w:t>
      </w:r>
      <w:r>
        <w:rPr>
          <w:i/>
          <w:iCs/>
        </w:rPr>
        <w:t>Size of Object</w:t>
      </w:r>
      <w:r>
        <w:t xml:space="preserve"> at 49 months, </w:t>
      </w:r>
      <w:r>
        <w:rPr>
          <w:i/>
          <w:iCs/>
        </w:rPr>
        <w:t>Number of Object</w:t>
      </w:r>
      <w:r>
        <w:t xml:space="preserve"> at 50 months, and </w:t>
      </w:r>
      <w:r>
        <w:rPr>
          <w:i/>
          <w:iCs/>
        </w:rPr>
        <w:t>Number of Feature</w:t>
      </w:r>
      <w:r>
        <w:t xml:space="preserve"> at 50 months. The exception to this pattern is </w:t>
      </w:r>
      <w:r>
        <w:rPr>
          <w:i/>
          <w:iCs/>
        </w:rPr>
        <w:t>Size of Feature</w:t>
      </w:r>
      <w:r>
        <w:t xml:space="preserve"> where children master the task no sooner than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in the context of the four-year age-range that is considered here. </w:t>
      </w:r>
      <w:r>
        <w:rPr>
          <w:i/>
          <w:iCs/>
        </w:rPr>
        <w:t>Size of Feature</w:t>
      </w:r>
      <w:r>
        <w:t xml:space="preserve"> stands out as the most difficult condition in the series of studies presented here with group-level success at 59 months as it requires children to consider proportions within the composition of the target stimulus. </w:t>
      </w:r>
      <w:r>
        <w:rPr>
          <w:i/>
          <w:iCs/>
        </w:rPr>
        <w:t>Size of Object</w:t>
      </w:r>
      <w:r>
        <w:t xml:space="preserve"> demonstrates that children generally can grasp sizeanalogies earlier with the exact same cues and </w:t>
      </w:r>
      <w:r>
        <w:rPr>
          <w:i/>
          <w:iCs/>
        </w:rPr>
        <w:t>Absolute Position</w:t>
      </w:r>
      <w:r>
        <w:t xml:space="preserve"> and </w:t>
      </w:r>
      <w:r>
        <w:rPr>
          <w:i/>
          <w:iCs/>
        </w:rPr>
        <w:t>Relative Position</w:t>
      </w:r>
      <w:r>
        <w:t xml:space="preserve"> from study 2 indicate that children can also master figure-ground relationships or relational patterns in targets even prior to the fourth birthday.</w:t>
      </w:r>
    </w:p>
    <w:p w14:paraId="1CC10295" w14:textId="77777777" w:rsidR="00AE3AC5" w:rsidRDefault="00000000">
      <w:pPr>
        <w:pStyle w:val="berschrift1"/>
      </w:pPr>
      <w:bookmarkStart w:id="25" w:name="discussion-3"/>
      <w:bookmarkEnd w:id="19"/>
      <w:bookmarkEnd w:id="24"/>
      <w:r>
        <w:lastRenderedPageBreak/>
        <w:t>Discussion</w:t>
      </w:r>
    </w:p>
    <w:p w14:paraId="338CD576" w14:textId="77777777" w:rsidR="00AE3AC5" w:rsidRDefault="00000000" w:rsidP="000C5C1D">
      <w:pPr>
        <w:pStyle w:val="FirstParagraph"/>
        <w:jc w:val="both"/>
      </w:pPr>
      <w:r>
        <w:t>We presented a concerted three-part research project tracing young children’s ability to spontaneously comprehend unfamiliar graphic symbols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determined the month of age at which children as a group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While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w:t>
      </w:r>
    </w:p>
    <w:p w14:paraId="3CE5E6B6" w14:textId="77777777" w:rsidR="00AE3AC5" w:rsidRDefault="00000000" w:rsidP="000C5C1D">
      <w:pPr>
        <w:pStyle w:val="Textkrper"/>
        <w:jc w:val="both"/>
      </w:pPr>
      <w:r>
        <w:t xml:space="preserve">In Study 1, we found that in </w:t>
      </w:r>
      <w:r>
        <w:rPr>
          <w:i/>
          <w:iCs/>
        </w:rPr>
        <w:t>Representation</w:t>
      </w:r>
      <w:r>
        <w:t xml:space="preserve"> - with cues that are direct outline drawings of the items they refer to - children are robustly better than chance at the lower boundary of our age-window which demonstrates that the general task design and setup are sufficiently clear even for the youngest children in the sample. A second condition, </w:t>
      </w:r>
      <w:r>
        <w:rPr>
          <w:i/>
          <w:iCs/>
        </w:rPr>
        <w:t>Pars Pro Toto</w:t>
      </w:r>
      <w:r>
        <w:t xml:space="preserve">, used the exact same stimuli, but the cues provided only half of the respective figures to guide children’s choices. While cues are highly similar and targets even identical, children solve Pars Pro Toto no sooner than at 38 months of age. This demonstrates that by three years of age, children’s symbolic competence is still fragile if additional steps such as the straightforward completion of a canonic </w:t>
      </w:r>
      <w:r>
        <w:lastRenderedPageBreak/>
        <w:t xml:space="preserve">shape is necessary for referential inference. Two further conditions aimed at abstracting from the cue representations while still retaining characteristic features of the target shapes with regard to an analogy in form, namely whether they were more round or edgy. </w:t>
      </w:r>
      <w:r>
        <w:rPr>
          <w:i/>
          <w:iCs/>
        </w:rPr>
        <w:t>Simple Form Analogy</w:t>
      </w:r>
      <w:r>
        <w:t xml:space="preserve"> employed simple shapes as cues with success at 47 months, and </w:t>
      </w:r>
      <w:r>
        <w:rPr>
          <w:i/>
          <w:iCs/>
        </w:rPr>
        <w:t>Complex Form Analogy</w:t>
      </w:r>
      <w:r>
        <w:t xml:space="preserve"> more elaborate patterns with success at 50 months. This is the first time a developmental setup features abstract shape as a means of disambiguation in graphic communication. Taken together, study 1 provides a within-subjects comparison of young children’s ability to read representational, metonymical and metaphorical uses of form in graphic communication, showing that while iconicity marks the entry point for the comprehension of graphic cues, more abstract representations are only accessible by the fourth year.</w:t>
      </w:r>
    </w:p>
    <w:p w14:paraId="5AD09B99" w14:textId="77777777" w:rsidR="00AE3AC5" w:rsidRDefault="00000000" w:rsidP="000C5C1D">
      <w:pPr>
        <w:pStyle w:val="Textkrper"/>
        <w:jc w:val="both"/>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44 months of age. In </w:t>
      </w:r>
      <w:r>
        <w:rPr>
          <w:i/>
          <w:iCs/>
        </w:rPr>
        <w:t>Relative Position</w:t>
      </w:r>
      <w:r>
        <w:t>, the target and cue were composed of two figures each that were either closer together or further apart, or aligned on a vertical or horizontal axis. Here children perform above chance at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w:t>
      </w:r>
      <w:r>
        <w:lastRenderedPageBreak/>
        <w:t xml:space="preserve">Matlen, &amp; Gentner, 2022). In the context of our study, children succeeded at 50 months. Contrary to our preregistered prediction, children succeed even earlier - at 47 months - in the complementary condition </w:t>
      </w:r>
      <w:r>
        <w:rPr>
          <w:i/>
          <w:iCs/>
        </w:rPr>
        <w:t>Orientation of Feature</w:t>
      </w:r>
      <w:r>
        <w:t>. In this condition, the cues and targets had a feature like a bump or an opening that is oriented either up- or downward. In summary, Study 2 addresses an interesting caveat in previous research by presenting stimulus sets where symbol and referent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0FEE215D" w14:textId="77777777" w:rsidR="00AE3AC5" w:rsidRDefault="00000000" w:rsidP="000C5C1D">
      <w:pPr>
        <w:pStyle w:val="Textkrper"/>
        <w:jc w:val="both"/>
      </w:pPr>
      <w:r>
        <w:t>Study 3 set out to further reduce iconicity by drawing abstract analogies in size and number. Number of Object featured graphic displays with one or three items per target or referent. Number of Feature reuses the same cues but employs targets varying in number with regard to salient features (e.g., spikes or dents). Children succeed in both conditions at 50 months. A different pattern emerges for the two conditions featuring size relationships. Children succeed at 49 months of age in Size of Object, but ten months later in Size of Feature in which target and distractor figures have a small or large opening, bump or hole. This aligns with research showing that while preschoolers are generally sensitive to the canonical size of objects depicted in graphical displays (Bloom &amp; Markson, 1998; Cox, 2005; Long et al., 2019) they are much less likely to spontaneously extract size relations among abstract shapes (Kroupin &amp; Carey, 2022b).</w:t>
      </w:r>
    </w:p>
    <w:p w14:paraId="3D82AC06" w14:textId="77777777" w:rsidR="00AE3AC5" w:rsidRDefault="00000000" w:rsidP="000C5C1D">
      <w:pPr>
        <w:pStyle w:val="Textkrper"/>
        <w:jc w:val="both"/>
      </w:pPr>
      <w:r>
        <w:t xml:space="preserve">A set of major findings emerges from the studies presented here. First, our results robustly confirm that symbol-referent relationships are easiest for children when they are based in iconicity and become gradually more difficult as visual similarity decreases (Ganea et al., 2008) </w:t>
      </w:r>
      <w:r>
        <w:lastRenderedPageBreak/>
        <w:t xml:space="preserve">as access to conceptual information appears to develop later in the preschool years (Callaghan, 2000).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in graphic design may be. Second, the 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Wilson, &amp; Phillips, 1998).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Third, just around their fourth birthday at 50 months of age, children are generally able to identify various types of analogies spontaneously in unfamiliar symbolic displays. Previous findings have challenged assumptions of domain specificity in symbol development modalities such as graphic, gestural or verbal communication and rather highlighted the flexibility of symbolic and pragmatic abilities (Callaghan, 1999). Our findings champion a similar perspective with regard to various conceptual or basic graphic dimensions and underline the flexibility of symbolic cognition across various symbol-referent relationships. For conditions that relied strongly on children to abstract from surface level features and focus on analogies in form, orientation, size and number, there is no strong evidence for sequences in the ages of success. Rather, children appear to master all </w:t>
      </w:r>
      <w:r>
        <w:lastRenderedPageBreak/>
        <w:t>symbol-referent relationships almost at the same point in time, which is highly indicative of a qualitative shift in pragmatic and analogical reasoning skills in the fourth year that drive children’s ability for solving communicative coordination problems.</w:t>
      </w:r>
    </w:p>
    <w:p w14:paraId="590E47B5" w14:textId="77777777" w:rsidR="00AE3AC5" w:rsidRDefault="00000000" w:rsidP="000C5C1D">
      <w:pPr>
        <w:pStyle w:val="Textkrper"/>
        <w:jc w:val="both"/>
      </w:pPr>
      <w:r>
        <w:t>To the extent that the studies presented above highlight the fourth birthday as a milestone in symbolic development, this connects to a rich literature on major developmental shifts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Corbit, 2012), as well as insight into communicative intent (Callaghan &amp; Rochat, 2008), and qualitative shifts in perspective-taking abilities (Flavell, Everett, Croft, &amp; Flavell,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growth in working memory (Richland et al., 2006; Simms, Frausel, &amp; Richland, 2018), executive functions (Bohn, Tessler, Kordt, Hausmann, &amp; Frank, 2023; Thibaut, French, &amp; Vezneva, 2010) and inhibitory control (Carlson &amp; Wang, 2007; Jablonski, 2014).</w:t>
      </w:r>
    </w:p>
    <w:p w14:paraId="13E1C951" w14:textId="77777777" w:rsidR="00AE3AC5" w:rsidRDefault="00000000" w:rsidP="000C5C1D">
      <w:pPr>
        <w:pStyle w:val="Textkrper"/>
        <w:jc w:val="both"/>
      </w:pPr>
      <w:r>
        <w:lastRenderedPageBreak/>
        <w:t>While work on analogical reasoning abilities has highlighted that preschoolers are generally able to identify agreement in graphic displays and specifically involving size, number, 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judgements across a wide variety of basic conceptual and visual features.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w:t>
      </w:r>
    </w:p>
    <w:p w14:paraId="57F4E4BE" w14:textId="77777777" w:rsidR="00AE3AC5" w:rsidRDefault="00000000" w:rsidP="000C5C1D">
      <w:pPr>
        <w:pStyle w:val="Textkrper"/>
        <w:jc w:val="both"/>
      </w:pPr>
      <w:r>
        <w:t xml:space="preserve">By design, the research described here is exploratory and has limitations that future research needs to address. A crucial problem is that the project aims to establish robust developmental trajectories but does so only in a single, industrialized population (Henrich, Heine, &amp; Norenzayan, 2010). Future work needs to address the role of enculturation and specifically the influence of permanent exposure to symbolic and pictorial illustrations, writing and numbers or depictions featuring canonical shapes - ideally doing so both by investigating children in various cultural settings, as well as less industrialized communities (Callaghan et al., 2012; Dehaene, Izard, Pica, &amp; Spelke,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w:t>
      </w:r>
      <w:r>
        <w:lastRenderedPageBreak/>
        <w:t>be able to use their skills in the production of graphic communication and, thereby, inform theories on the development of communication systems broadly construed (Bohn, Kachel, &amp; Tomasello, 2019; Nölle, Fusaroli, Mills, &amp; Tylén, 2020; Raviv &amp; Arnon, 2018). The results here demonstrates that at least by the age of four, they would be apt receivers of symbolic creations whose reference is based on iconicity, metonymy, alignment, orientation, as well as analogies in form, size and number.</w:t>
      </w:r>
    </w:p>
    <w:p w14:paraId="68F82F54" w14:textId="77777777" w:rsidR="00AE3AC5" w:rsidRDefault="00000000" w:rsidP="000C5C1D">
      <w:pPr>
        <w:pStyle w:val="Textkrper"/>
        <w:jc w:val="both"/>
      </w:pPr>
      <w:r>
        <w:t>Taken together, our work provides one of the most comprehensive, robust and systematic investigations of young children’s ability to find meaning in unfamiliar graphic symbols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already address an important caveat in our understanding of children’s growing aptitude in graphic communication: the conceptual space spanning from iconic to abstract graphical representation.</w:t>
      </w:r>
    </w:p>
    <w:p w14:paraId="143C8F59" w14:textId="77777777" w:rsidR="00AE3AC5" w:rsidRDefault="00000000" w:rsidP="000C5C1D">
      <w:pPr>
        <w:jc w:val="both"/>
      </w:pPr>
      <w:r>
        <w:br w:type="page"/>
      </w:r>
    </w:p>
    <w:p w14:paraId="7253F709" w14:textId="77777777" w:rsidR="00AE3AC5" w:rsidRDefault="00000000">
      <w:pPr>
        <w:pStyle w:val="berschrift1"/>
      </w:pPr>
      <w:bookmarkStart w:id="26" w:name="references"/>
      <w:bookmarkEnd w:id="25"/>
      <w:r>
        <w:lastRenderedPageBreak/>
        <w:t>References</w:t>
      </w:r>
    </w:p>
    <w:p w14:paraId="1A390CD5" w14:textId="77777777" w:rsidR="00AE3AC5" w:rsidRDefault="00000000">
      <w:pPr>
        <w:pStyle w:val="Literaturverzeichnis"/>
      </w:pPr>
      <w:bookmarkStart w:id="27" w:name="ref-allen2004both"/>
      <w:bookmarkStart w:id="28" w:name="refs"/>
      <w:r>
        <w:t xml:space="preserve">Allen Preissler, M., &amp; Carey, S. (2004). Do both pictures and words function as symbols for 18-and 24-month-old children? </w:t>
      </w:r>
      <w:r>
        <w:rPr>
          <w:i/>
          <w:iCs/>
        </w:rPr>
        <w:t>Journal of Cognition and Development</w:t>
      </w:r>
      <w:r>
        <w:t xml:space="preserve">, </w:t>
      </w:r>
      <w:r>
        <w:rPr>
          <w:i/>
          <w:iCs/>
        </w:rPr>
        <w:t>5</w:t>
      </w:r>
      <w:r>
        <w:t>(2), 185–212.</w:t>
      </w:r>
    </w:p>
    <w:p w14:paraId="19AE04E6" w14:textId="77777777" w:rsidR="00AE3AC5" w:rsidRDefault="00000000">
      <w:pPr>
        <w:pStyle w:val="Literaturverzeichnis"/>
      </w:pPr>
      <w:bookmarkStart w:id="29" w:name="ref-bermudez2020sound"/>
      <w:bookmarkEnd w:id="27"/>
      <w:r>
        <w:t xml:space="preserve">Bermúdez, N. (2020). Sound symbolism. </w:t>
      </w:r>
      <w:r>
        <w:rPr>
          <w:i/>
          <w:iCs/>
        </w:rPr>
        <w:t>The International Encyclopedia of Linguistic Anthropology</w:t>
      </w:r>
      <w:r>
        <w:t>, 1–3.</w:t>
      </w:r>
    </w:p>
    <w:p w14:paraId="43FEA3E7" w14:textId="77777777" w:rsidR="00AE3AC5" w:rsidRDefault="00000000">
      <w:pPr>
        <w:pStyle w:val="Literaturverzeichnis"/>
      </w:pPr>
      <w:bookmarkStart w:id="30" w:name="ref-blades1994development"/>
      <w:bookmarkEnd w:id="29"/>
      <w:r>
        <w:t xml:space="preserve">Blades, M., &amp; Spencer, C. (1994). The development of children’s ability to use spatial representations. </w:t>
      </w:r>
      <w:r>
        <w:rPr>
          <w:i/>
          <w:iCs/>
        </w:rPr>
        <w:t>Advances in Child Development and Behavior</w:t>
      </w:r>
      <w:r>
        <w:t xml:space="preserve">, </w:t>
      </w:r>
      <w:r>
        <w:rPr>
          <w:i/>
          <w:iCs/>
        </w:rPr>
        <w:t>25</w:t>
      </w:r>
      <w:r>
        <w:t>, 157–199.</w:t>
      </w:r>
    </w:p>
    <w:p w14:paraId="1AE29F2D" w14:textId="77777777" w:rsidR="00AE3AC5" w:rsidRDefault="00000000">
      <w:pPr>
        <w:pStyle w:val="Literaturverzeichnis"/>
      </w:pPr>
      <w:bookmarkStart w:id="31" w:name="ref-bloom1998intention"/>
      <w:bookmarkEnd w:id="30"/>
      <w:r>
        <w:t xml:space="preserve">Bloom, P., &amp; Markson, L. (1998). Intention and analogy in children’s naming of pictorial representations. </w:t>
      </w:r>
      <w:r>
        <w:rPr>
          <w:i/>
          <w:iCs/>
        </w:rPr>
        <w:t>Psychological Science</w:t>
      </w:r>
      <w:r>
        <w:t xml:space="preserve">, </w:t>
      </w:r>
      <w:r>
        <w:rPr>
          <w:i/>
          <w:iCs/>
        </w:rPr>
        <w:t>9</w:t>
      </w:r>
      <w:r>
        <w:t>(3), 200–204.</w:t>
      </w:r>
    </w:p>
    <w:p w14:paraId="0301350D" w14:textId="77777777" w:rsidR="00AE3AC5" w:rsidRDefault="00000000">
      <w:pPr>
        <w:pStyle w:val="Literaturverzeichnis"/>
      </w:pPr>
      <w:bookmarkStart w:id="32" w:name="ref-bohn2019natural"/>
      <w:bookmarkEnd w:id="31"/>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605CF3EF" w14:textId="77777777" w:rsidR="00AE3AC5" w:rsidRDefault="00000000">
      <w:pPr>
        <w:pStyle w:val="Literaturverzeichnis"/>
      </w:pPr>
      <w:bookmarkStart w:id="33" w:name="ref-bohn2019young"/>
      <w:bookmarkEnd w:id="32"/>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69070B37" w14:textId="77777777" w:rsidR="00AE3AC5" w:rsidRDefault="00000000">
      <w:pPr>
        <w:pStyle w:val="Literaturverzeichnis"/>
      </w:pPr>
      <w:bookmarkStart w:id="34" w:name="ref-bohn2023individual"/>
      <w:bookmarkEnd w:id="33"/>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4E462355" w14:textId="77777777" w:rsidR="00AE3AC5" w:rsidRDefault="00000000">
      <w:pPr>
        <w:pStyle w:val="Literaturverzeichnis"/>
      </w:pPr>
      <w:bookmarkStart w:id="35" w:name="ref-Bruner1996culture"/>
      <w:bookmarkEnd w:id="34"/>
      <w:r>
        <w:t xml:space="preserve">Bruner, J. S. (1996). </w:t>
      </w:r>
      <w:r>
        <w:rPr>
          <w:i/>
          <w:iCs/>
        </w:rPr>
        <w:t>The culture of education</w:t>
      </w:r>
      <w:r>
        <w:t>. Harvard University Press.</w:t>
      </w:r>
    </w:p>
    <w:p w14:paraId="73C6525C" w14:textId="77777777" w:rsidR="00AE3AC5" w:rsidRDefault="00000000">
      <w:pPr>
        <w:pStyle w:val="Literaturverzeichnis"/>
      </w:pPr>
      <w:bookmarkStart w:id="36" w:name="ref-burkner2017brms"/>
      <w:bookmarkEnd w:id="35"/>
      <w:r>
        <w:lastRenderedPageBreak/>
        <w:t xml:space="preserve">Bürkner, P.-C. (2017). Brms: An r package for bayesian multilevel models using stan. </w:t>
      </w:r>
      <w:r>
        <w:rPr>
          <w:i/>
          <w:iCs/>
        </w:rPr>
        <w:t>Journal of Statistical Software</w:t>
      </w:r>
      <w:r>
        <w:t xml:space="preserve">, </w:t>
      </w:r>
      <w:r>
        <w:rPr>
          <w:i/>
          <w:iCs/>
        </w:rPr>
        <w:t>80</w:t>
      </w:r>
      <w:r>
        <w:t>, 1–28.</w:t>
      </w:r>
    </w:p>
    <w:p w14:paraId="1A529580" w14:textId="77777777" w:rsidR="00AE3AC5" w:rsidRDefault="00000000">
      <w:pPr>
        <w:pStyle w:val="Literaturverzeichnis"/>
      </w:pPr>
      <w:bookmarkStart w:id="37" w:name="ref-callaghan1999early"/>
      <w:bookmarkEnd w:id="36"/>
      <w:r>
        <w:t xml:space="preserve">Callaghan, T. (1999). Early understanding and production of graphic symbols. </w:t>
      </w:r>
      <w:r>
        <w:rPr>
          <w:i/>
          <w:iCs/>
        </w:rPr>
        <w:t>Child Development</w:t>
      </w:r>
      <w:r>
        <w:t xml:space="preserve">, </w:t>
      </w:r>
      <w:r>
        <w:rPr>
          <w:i/>
          <w:iCs/>
        </w:rPr>
        <w:t>70</w:t>
      </w:r>
      <w:r>
        <w:t>(6), 1314–1324.</w:t>
      </w:r>
    </w:p>
    <w:p w14:paraId="6D3E0F90" w14:textId="77777777" w:rsidR="00AE3AC5" w:rsidRDefault="00000000">
      <w:pPr>
        <w:pStyle w:val="Literaturverzeichnis"/>
      </w:pPr>
      <w:bookmarkStart w:id="38" w:name="ref-callaghan2000factors"/>
      <w:bookmarkEnd w:id="37"/>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00E7ECC5" w14:textId="77777777" w:rsidR="00AE3AC5" w:rsidRDefault="00000000">
      <w:pPr>
        <w:pStyle w:val="Literaturverzeichnis"/>
      </w:pPr>
      <w:bookmarkStart w:id="39" w:name="ref-callaghan2015development"/>
      <w:bookmarkEnd w:id="38"/>
      <w:r>
        <w:t xml:space="preserve">Callaghan, T., &amp; Corbit, J. (2015). The development of symbolic representation. In R. M. Lerner (Ed.), </w:t>
      </w:r>
      <w:r>
        <w:rPr>
          <w:i/>
          <w:iCs/>
        </w:rPr>
        <w:t>Handbook of child psychology and developmental science</w:t>
      </w:r>
      <w:r>
        <w:t xml:space="preserve">. Wiley. </w:t>
      </w:r>
      <w:hyperlink r:id="rId17">
        <w:r>
          <w:rPr>
            <w:rStyle w:val="Hyperlink"/>
          </w:rPr>
          <w:t>https://doi.org/10.1002/9781118963418.childpsy207</w:t>
        </w:r>
      </w:hyperlink>
    </w:p>
    <w:p w14:paraId="5C72F2F1" w14:textId="77777777" w:rsidR="00AE3AC5" w:rsidRDefault="00000000">
      <w:pPr>
        <w:pStyle w:val="Literaturverzeichnis"/>
      </w:pPr>
      <w:bookmarkStart w:id="40" w:name="ref-callaghan2008children"/>
      <w:bookmarkEnd w:id="39"/>
      <w:r>
        <w:t xml:space="preserve">Callaghan, T., &amp; Rochat, P. (2008). Children’s understanding of artist-picture relations: Implications for their theories of pictures. In C. Milbrath &amp; H. M. Trautner (Eds.), </w:t>
      </w:r>
      <w:r>
        <w:rPr>
          <w:i/>
          <w:iCs/>
        </w:rPr>
        <w:t>Children’s understanding and production of pictures, drawings, and art: Theoretical and empirical approaches</w:t>
      </w:r>
      <w:r>
        <w:t xml:space="preserve"> (pp. 187–205). Hogrefe &amp; Huber Publishers.</w:t>
      </w:r>
    </w:p>
    <w:p w14:paraId="40DEFC4A" w14:textId="77777777" w:rsidR="00AE3AC5" w:rsidRDefault="00000000">
      <w:pPr>
        <w:pStyle w:val="Literaturverzeichnis"/>
      </w:pPr>
      <w:bookmarkStart w:id="41" w:name="ref-callaghan2012young"/>
      <w:bookmarkEnd w:id="40"/>
      <w:r>
        <w:t xml:space="preserve">Callaghan, T.,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45818809" w14:textId="77777777" w:rsidR="00AE3AC5" w:rsidRDefault="00000000">
      <w:pPr>
        <w:pStyle w:val="Literaturverzeichnis"/>
      </w:pPr>
      <w:bookmarkStart w:id="42" w:name="ref-carey2000origin"/>
      <w:bookmarkEnd w:id="41"/>
      <w:r>
        <w:t xml:space="preserve">Carey, S. (2000). The origin of concepts. </w:t>
      </w:r>
      <w:r>
        <w:rPr>
          <w:i/>
          <w:iCs/>
        </w:rPr>
        <w:t>Journal of Cognition and Development</w:t>
      </w:r>
      <w:r>
        <w:t xml:space="preserve">, </w:t>
      </w:r>
      <w:r>
        <w:rPr>
          <w:i/>
          <w:iCs/>
        </w:rPr>
        <w:t>1</w:t>
      </w:r>
      <w:r>
        <w:t>(1), 37–41.</w:t>
      </w:r>
    </w:p>
    <w:p w14:paraId="154CA35B" w14:textId="77777777" w:rsidR="00AE3AC5" w:rsidRDefault="00000000">
      <w:pPr>
        <w:pStyle w:val="Literaturverzeichnis"/>
      </w:pPr>
      <w:bookmarkStart w:id="43" w:name="ref-carey2019ontogenetic"/>
      <w:bookmarkEnd w:id="42"/>
      <w:r>
        <w:t xml:space="preserve">Carey, S., &amp; Barner, D. (2019). Ontogenetic origins of human integer representations. </w:t>
      </w:r>
      <w:r>
        <w:rPr>
          <w:i/>
          <w:iCs/>
        </w:rPr>
        <w:t>Trends in Cognitive Sciences</w:t>
      </w:r>
      <w:r>
        <w:t xml:space="preserve">, </w:t>
      </w:r>
      <w:r>
        <w:rPr>
          <w:i/>
          <w:iCs/>
        </w:rPr>
        <w:t>23</w:t>
      </w:r>
      <w:r>
        <w:t>(10), 823–835.</w:t>
      </w:r>
    </w:p>
    <w:p w14:paraId="3823849E" w14:textId="77777777" w:rsidR="00AE3AC5" w:rsidRDefault="00000000">
      <w:pPr>
        <w:pStyle w:val="Literaturverzeichnis"/>
      </w:pPr>
      <w:bookmarkStart w:id="44" w:name="ref-carlson2007inhibitory"/>
      <w:bookmarkEnd w:id="43"/>
      <w:r>
        <w:t xml:space="preserve">Carlson, S. M., &amp; Wang, T. S. (2007). Inhibitory control and emotion regulation in preschool children. </w:t>
      </w:r>
      <w:r>
        <w:rPr>
          <w:i/>
          <w:iCs/>
        </w:rPr>
        <w:t>Cognitive Development</w:t>
      </w:r>
      <w:r>
        <w:t xml:space="preserve">, </w:t>
      </w:r>
      <w:r>
        <w:rPr>
          <w:i/>
          <w:iCs/>
        </w:rPr>
        <w:t>22</w:t>
      </w:r>
      <w:r>
        <w:t>(4), 489–510.</w:t>
      </w:r>
    </w:p>
    <w:p w14:paraId="45A381D5" w14:textId="77777777" w:rsidR="00AE3AC5" w:rsidRDefault="00000000">
      <w:pPr>
        <w:pStyle w:val="Literaturverzeichnis"/>
      </w:pPr>
      <w:bookmarkStart w:id="45" w:name="ref-christie2014language"/>
      <w:bookmarkEnd w:id="44"/>
      <w:r>
        <w:lastRenderedPageBreak/>
        <w:t xml:space="preserve">Christie, S., &amp; Gentner, D. (2014). Language helps children succeed on a classic analogy task. </w:t>
      </w:r>
      <w:r>
        <w:rPr>
          <w:i/>
          <w:iCs/>
        </w:rPr>
        <w:t>Cognitive Science</w:t>
      </w:r>
      <w:r>
        <w:t xml:space="preserve">, </w:t>
      </w:r>
      <w:r>
        <w:rPr>
          <w:i/>
          <w:iCs/>
        </w:rPr>
        <w:t>38</w:t>
      </w:r>
      <w:r>
        <w:t>(2), 383–397.</w:t>
      </w:r>
    </w:p>
    <w:p w14:paraId="2CB89974" w14:textId="77777777" w:rsidR="00AE3AC5" w:rsidRDefault="00000000">
      <w:pPr>
        <w:pStyle w:val="Literaturverzeichnis"/>
      </w:pPr>
      <w:bookmarkStart w:id="46" w:name="ref-cleveland1984graphical"/>
      <w:bookmarkEnd w:id="45"/>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40E3BF26" w14:textId="77777777" w:rsidR="00AE3AC5" w:rsidRDefault="00000000">
      <w:pPr>
        <w:pStyle w:val="Literaturverzeichnis"/>
      </w:pPr>
      <w:bookmarkStart w:id="47" w:name="ref-cooperrider2019career"/>
      <w:bookmarkEnd w:id="46"/>
      <w:r>
        <w:t xml:space="preserve">Cooperrider, K., &amp; Gentner, D. (2019). The career of measurement. </w:t>
      </w:r>
      <w:r>
        <w:rPr>
          <w:i/>
          <w:iCs/>
        </w:rPr>
        <w:t>Cognition</w:t>
      </w:r>
      <w:r>
        <w:t xml:space="preserve">, </w:t>
      </w:r>
      <w:r>
        <w:rPr>
          <w:i/>
          <w:iCs/>
        </w:rPr>
        <w:t>191</w:t>
      </w:r>
      <w:r>
        <w:t>, 103942.</w:t>
      </w:r>
    </w:p>
    <w:p w14:paraId="7C28DDA2" w14:textId="77777777" w:rsidR="00AE3AC5" w:rsidRDefault="00000000">
      <w:pPr>
        <w:pStyle w:val="Literaturverzeichnis"/>
      </w:pPr>
      <w:bookmarkStart w:id="48" w:name="ref-cox2005pictorial"/>
      <w:bookmarkEnd w:id="47"/>
      <w:r>
        <w:t xml:space="preserve">Cox, M. (2005). </w:t>
      </w:r>
      <w:r>
        <w:rPr>
          <w:i/>
          <w:iCs/>
        </w:rPr>
        <w:t>The pictorial world of the child</w:t>
      </w:r>
      <w:r>
        <w:t>. Cambridge University Press.</w:t>
      </w:r>
    </w:p>
    <w:p w14:paraId="46CB7EF8" w14:textId="77777777" w:rsidR="00AE3AC5" w:rsidRDefault="00000000">
      <w:pPr>
        <w:pStyle w:val="Literaturverzeichnis"/>
      </w:pPr>
      <w:bookmarkStart w:id="49" w:name="ref-cwiek2022bouba"/>
      <w:bookmarkEnd w:id="48"/>
      <w:r>
        <w:t xml:space="preserve">Ćwiek, A., Fuchs, S., Draxler, C., Asu, E. L., Dediu, D., Hiovain, K., et al.others. (2022). The bouba/kiki effect is robust across cultures and writing systems. </w:t>
      </w:r>
      <w:r>
        <w:rPr>
          <w:i/>
          <w:iCs/>
        </w:rPr>
        <w:t>Philosophical Transactions of the Royal Society B</w:t>
      </w:r>
      <w:r>
        <w:t xml:space="preserve">, </w:t>
      </w:r>
      <w:r>
        <w:rPr>
          <w:i/>
          <w:iCs/>
        </w:rPr>
        <w:t>377</w:t>
      </w:r>
      <w:r>
        <w:t>(1841), 20200390.</w:t>
      </w:r>
    </w:p>
    <w:p w14:paraId="07D2D853" w14:textId="77777777" w:rsidR="00AE3AC5" w:rsidRDefault="00000000">
      <w:pPr>
        <w:pStyle w:val="Literaturverzeichnis"/>
      </w:pPr>
      <w:bookmarkStart w:id="50" w:name="ref-daugli2016young"/>
      <w:bookmarkEnd w:id="49"/>
      <w:r>
        <w:t xml:space="preserve">Dağlı, Ü. Y., &amp; Halat, E. (2016). Young children’s conceptual understanding of triangle. </w:t>
      </w:r>
      <w:r>
        <w:rPr>
          <w:i/>
          <w:iCs/>
        </w:rPr>
        <w:t>Eurasia Journal of Mathematics, Science and Technology Education</w:t>
      </w:r>
      <w:r>
        <w:t xml:space="preserve">, </w:t>
      </w:r>
      <w:r>
        <w:rPr>
          <w:i/>
          <w:iCs/>
        </w:rPr>
        <w:t>12</w:t>
      </w:r>
      <w:r>
        <w:t>(2), 189–202.</w:t>
      </w:r>
    </w:p>
    <w:p w14:paraId="3EC18EAA" w14:textId="77777777" w:rsidR="00AE3AC5" w:rsidRDefault="00000000">
      <w:pPr>
        <w:pStyle w:val="Literaturverzeichnis"/>
      </w:pPr>
      <w:bookmarkStart w:id="51" w:name="ref-daucourt2021home"/>
      <w:bookmarkEnd w:id="50"/>
      <w:r>
        <w:t xml:space="preserve">Daucourt, M. C., Napoli, A. R., Quinn, J. M., Wood, S. G., &amp; Hart, S. A. (2021). The home math environment and math achievement: A meta-analysis. </w:t>
      </w:r>
      <w:r>
        <w:rPr>
          <w:i/>
          <w:iCs/>
        </w:rPr>
        <w:t>Psychological Bulletin</w:t>
      </w:r>
      <w:r>
        <w:t xml:space="preserve">, </w:t>
      </w:r>
      <w:r>
        <w:rPr>
          <w:i/>
          <w:iCs/>
        </w:rPr>
        <w:t>147</w:t>
      </w:r>
      <w:r>
        <w:t>(6), 565.</w:t>
      </w:r>
    </w:p>
    <w:p w14:paraId="228AF789" w14:textId="77777777" w:rsidR="00AE3AC5" w:rsidRDefault="00000000">
      <w:pPr>
        <w:pStyle w:val="Literaturverzeichnis"/>
      </w:pPr>
      <w:bookmarkStart w:id="52" w:name="ref-deluca2010developmental"/>
      <w:bookmarkEnd w:id="51"/>
      <w:r>
        <w:t xml:space="preserve">De Luca, C. R., &amp; Leventer, R. J. (2010). Developmental trajectories of executive functions across the lifespan. In </w:t>
      </w:r>
      <w:r>
        <w:rPr>
          <w:i/>
          <w:iCs/>
        </w:rPr>
        <w:t>Executive functions and the frontal lobes</w:t>
      </w:r>
      <w:r>
        <w:t xml:space="preserve"> (pp. 57–90). Psychology Press.</w:t>
      </w:r>
    </w:p>
    <w:p w14:paraId="48470C33" w14:textId="77777777" w:rsidR="00AE3AC5" w:rsidRDefault="00000000">
      <w:pPr>
        <w:pStyle w:val="Literaturverzeichnis"/>
      </w:pPr>
      <w:bookmarkStart w:id="53" w:name="ref-Dehaene2009reading"/>
      <w:bookmarkEnd w:id="52"/>
      <w:r>
        <w:t xml:space="preserve">Dehaene, S. (2009). </w:t>
      </w:r>
      <w:r>
        <w:rPr>
          <w:i/>
          <w:iCs/>
        </w:rPr>
        <w:t>Reading in the brain: The new science of how we read</w:t>
      </w:r>
      <w:r>
        <w:t>. New York: Penguin.</w:t>
      </w:r>
    </w:p>
    <w:p w14:paraId="68ABDAAA" w14:textId="77777777" w:rsidR="00AE3AC5" w:rsidRDefault="00000000">
      <w:pPr>
        <w:pStyle w:val="Literaturverzeichnis"/>
      </w:pPr>
      <w:bookmarkStart w:id="54" w:name="ref-dehaene2006core"/>
      <w:bookmarkEnd w:id="53"/>
      <w:r>
        <w:t xml:space="preserve">Dehaene, S., Izard, V., Pica, P., &amp; Spelke, E. (2006). Core knowledge of geometry in an amazonian indigene group. </w:t>
      </w:r>
      <w:r>
        <w:rPr>
          <w:i/>
          <w:iCs/>
        </w:rPr>
        <w:t>Science</w:t>
      </w:r>
      <w:r>
        <w:t xml:space="preserve">, </w:t>
      </w:r>
      <w:r>
        <w:rPr>
          <w:i/>
          <w:iCs/>
        </w:rPr>
        <w:t>311</w:t>
      </w:r>
      <w:r>
        <w:t>(5759), 381–384.</w:t>
      </w:r>
    </w:p>
    <w:p w14:paraId="23F0994E" w14:textId="77777777" w:rsidR="00AE3AC5" w:rsidRDefault="00000000">
      <w:pPr>
        <w:pStyle w:val="Literaturverzeichnis"/>
      </w:pPr>
      <w:bookmarkStart w:id="55" w:name="ref-DeLoache1995early"/>
      <w:bookmarkEnd w:id="54"/>
      <w:r>
        <w:lastRenderedPageBreak/>
        <w:t xml:space="preserve">DeLoache, J. S. (1995). Early understanding and use of symbols: The model model. </w:t>
      </w:r>
      <w:r>
        <w:rPr>
          <w:i/>
          <w:iCs/>
        </w:rPr>
        <w:t>Current Directions in Cognitive Science</w:t>
      </w:r>
      <w:r>
        <w:t xml:space="preserve">, </w:t>
      </w:r>
      <w:r>
        <w:rPr>
          <w:i/>
          <w:iCs/>
        </w:rPr>
        <w:t>4</w:t>
      </w:r>
      <w:r>
        <w:t>, 109–113.</w:t>
      </w:r>
    </w:p>
    <w:p w14:paraId="60360E3D" w14:textId="77777777" w:rsidR="00AE3AC5" w:rsidRDefault="00000000">
      <w:pPr>
        <w:pStyle w:val="Literaturverzeichnis"/>
      </w:pPr>
      <w:bookmarkStart w:id="56" w:name="ref-deloache2004becoming"/>
      <w:bookmarkEnd w:id="55"/>
      <w:r>
        <w:t xml:space="preserve">DeLoache, J. S. (2004). Becoming symbol-minded. </w:t>
      </w:r>
      <w:r>
        <w:rPr>
          <w:i/>
          <w:iCs/>
        </w:rPr>
        <w:t>Trends in Cognitive Sciences</w:t>
      </w:r>
      <w:r>
        <w:t xml:space="preserve">, </w:t>
      </w:r>
      <w:r>
        <w:rPr>
          <w:i/>
          <w:iCs/>
        </w:rPr>
        <w:t>8</w:t>
      </w:r>
      <w:r>
        <w:t>(2), 66–70.</w:t>
      </w:r>
    </w:p>
    <w:p w14:paraId="14CD3040" w14:textId="77777777" w:rsidR="00AE3AC5" w:rsidRDefault="00000000">
      <w:pPr>
        <w:pStyle w:val="Literaturverzeichnis"/>
      </w:pPr>
      <w:bookmarkStart w:id="57" w:name="ref-deloache2011early"/>
      <w:bookmarkEnd w:id="56"/>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1EC0C4EB" w14:textId="77777777" w:rsidR="00AE3AC5" w:rsidRDefault="00000000">
      <w:pPr>
        <w:pStyle w:val="Literaturverzeichnis"/>
      </w:pPr>
      <w:bookmarkStart w:id="58" w:name="ref-deloache1992picture"/>
      <w:bookmarkEnd w:id="57"/>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644F31A7" w14:textId="77777777" w:rsidR="00AE3AC5" w:rsidRDefault="00000000">
      <w:pPr>
        <w:pStyle w:val="Literaturverzeichnis"/>
      </w:pPr>
      <w:bookmarkStart w:id="59" w:name="ref-deloache1998grasping"/>
      <w:bookmarkEnd w:id="58"/>
      <w:r>
        <w:t xml:space="preserve">DeLoache, J. S., Pierroutsakos, S. L., Uttal, D. H., Rosengren, K. S., &amp; Gottlieb, A. (1998). Grasping the nature of pictures. </w:t>
      </w:r>
      <w:r>
        <w:rPr>
          <w:i/>
          <w:iCs/>
        </w:rPr>
        <w:t>Psychological Science</w:t>
      </w:r>
      <w:r>
        <w:t xml:space="preserve">, </w:t>
      </w:r>
      <w:r>
        <w:rPr>
          <w:i/>
          <w:iCs/>
        </w:rPr>
        <w:t>9</w:t>
      </w:r>
      <w:r>
        <w:t>(3), 205–210.</w:t>
      </w:r>
    </w:p>
    <w:p w14:paraId="4D30BC0B" w14:textId="77777777" w:rsidR="00AE3AC5" w:rsidRDefault="00000000">
      <w:pPr>
        <w:pStyle w:val="Literaturverzeichnis"/>
      </w:pPr>
      <w:bookmarkStart w:id="60" w:name="ref-diamond2013executive"/>
      <w:bookmarkEnd w:id="59"/>
      <w:r>
        <w:t xml:space="preserve">Diamond, A. (2013). Executive functions. </w:t>
      </w:r>
      <w:r>
        <w:rPr>
          <w:i/>
          <w:iCs/>
        </w:rPr>
        <w:t>Annual Review of Psychology</w:t>
      </w:r>
      <w:r>
        <w:t xml:space="preserve">, </w:t>
      </w:r>
      <w:r>
        <w:rPr>
          <w:i/>
          <w:iCs/>
        </w:rPr>
        <w:t>64</w:t>
      </w:r>
      <w:r>
        <w:t>(1), 135–168.</w:t>
      </w:r>
    </w:p>
    <w:p w14:paraId="61AACCCF" w14:textId="77777777" w:rsidR="00AE3AC5" w:rsidRDefault="00000000">
      <w:pPr>
        <w:pStyle w:val="Literaturverzeichnis"/>
      </w:pPr>
      <w:bookmarkStart w:id="61" w:name="ref-donnelly2007visual"/>
      <w:bookmarkEnd w:id="60"/>
      <w:r>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708000BB" w14:textId="77777777" w:rsidR="00AE3AC5" w:rsidRDefault="00000000">
      <w:pPr>
        <w:pStyle w:val="Literaturverzeichnis"/>
      </w:pPr>
      <w:bookmarkStart w:id="62" w:name="ref-eckert2022does"/>
      <w:bookmarkEnd w:id="61"/>
      <w:r>
        <w:t xml:space="preserve">Eckert, J., Bohn, M., &amp; Spaethe, J. (2022). Does quantity matter to a stingless bee? </w:t>
      </w:r>
      <w:r>
        <w:rPr>
          <w:i/>
          <w:iCs/>
        </w:rPr>
        <w:t>Animal Cognition</w:t>
      </w:r>
      <w:r>
        <w:t xml:space="preserve">, </w:t>
      </w:r>
      <w:r>
        <w:rPr>
          <w:i/>
          <w:iCs/>
        </w:rPr>
        <w:t>25</w:t>
      </w:r>
      <w:r>
        <w:t>(3), 617–629.</w:t>
      </w:r>
    </w:p>
    <w:p w14:paraId="79A8F679" w14:textId="77777777" w:rsidR="00AE3AC5" w:rsidRDefault="00000000">
      <w:pPr>
        <w:pStyle w:val="Literaturverzeichnis"/>
      </w:pPr>
      <w:bookmarkStart w:id="63" w:name="ref-ferry2025bigger"/>
      <w:bookmarkEnd w:id="62"/>
      <w:r>
        <w:t xml:space="preserve">Ferry, A. L., Corcoran, M. G., Williams, E., Curtis, S. M., Gale, C. J., &amp; Twomey, K. E. (2025). Bigger versus smaller: Children’s understanding of size comparison words becomes more precise with age. </w:t>
      </w:r>
      <w:r>
        <w:rPr>
          <w:i/>
          <w:iCs/>
        </w:rPr>
        <w:t>Child Development</w:t>
      </w:r>
      <w:r>
        <w:t xml:space="preserve">, </w:t>
      </w:r>
      <w:r>
        <w:rPr>
          <w:i/>
          <w:iCs/>
        </w:rPr>
        <w:t>96</w:t>
      </w:r>
      <w:r>
        <w:t>(2), 492–507.</w:t>
      </w:r>
    </w:p>
    <w:p w14:paraId="62047990" w14:textId="77777777" w:rsidR="00AE3AC5" w:rsidRDefault="00000000">
      <w:pPr>
        <w:pStyle w:val="Literaturverzeichnis"/>
      </w:pPr>
      <w:bookmarkStart w:id="64" w:name="ref-flavell1981young"/>
      <w:bookmarkEnd w:id="63"/>
      <w:r>
        <w:lastRenderedPageBreak/>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60B88205" w14:textId="77777777" w:rsidR="00AE3AC5" w:rsidRDefault="00000000">
      <w:pPr>
        <w:pStyle w:val="Literaturverzeichnis"/>
      </w:pPr>
      <w:bookmarkStart w:id="65" w:name="ref-fort2018symbouki"/>
      <w:bookmarkEnd w:id="64"/>
      <w:r>
        <w:t xml:space="preserve">Fort, M., Lammertink, I., Peperkamp, S., Guevara-Rukoz, A., Fikkert, P., &amp; Tsuji, S. (2018). Symbouki: A meta-analysis on the emergence of sound symbolism in early language acquisition. </w:t>
      </w:r>
      <w:r>
        <w:rPr>
          <w:i/>
          <w:iCs/>
        </w:rPr>
        <w:t>Developmental Science</w:t>
      </w:r>
      <w:r>
        <w:t xml:space="preserve">, </w:t>
      </w:r>
      <w:r>
        <w:rPr>
          <w:i/>
          <w:iCs/>
        </w:rPr>
        <w:t>21</w:t>
      </w:r>
      <w:r>
        <w:t>(5), e12659.</w:t>
      </w:r>
    </w:p>
    <w:p w14:paraId="2160EB8F" w14:textId="77777777" w:rsidR="00AE3AC5" w:rsidRPr="00A511C4" w:rsidRDefault="00000000">
      <w:pPr>
        <w:pStyle w:val="Literaturverzeichnis"/>
        <w:rPr>
          <w:lang w:val="it-IT"/>
        </w:rPr>
      </w:pPr>
      <w:bookmarkStart w:id="66" w:name="ref-frausel2020origins"/>
      <w:bookmarkEnd w:id="65"/>
      <w:r>
        <w:t xml:space="preserve">Frausel, R. R., Silvey, C., Freeman, C., Dowling, N., Richland, L. E., Levine, S. C., … Goldin-Meadow, S. (2020). The origins of higher-order thinking lie in children’s spontaneous talk across the pre-school years. </w:t>
      </w:r>
      <w:r w:rsidRPr="00A511C4">
        <w:rPr>
          <w:i/>
          <w:iCs/>
          <w:lang w:val="it-IT"/>
        </w:rPr>
        <w:t>Cognition</w:t>
      </w:r>
      <w:r w:rsidRPr="00A511C4">
        <w:rPr>
          <w:lang w:val="it-IT"/>
        </w:rPr>
        <w:t xml:space="preserve">, </w:t>
      </w:r>
      <w:r w:rsidRPr="00A511C4">
        <w:rPr>
          <w:i/>
          <w:iCs/>
          <w:lang w:val="it-IT"/>
        </w:rPr>
        <w:t>200</w:t>
      </w:r>
      <w:r w:rsidRPr="00A511C4">
        <w:rPr>
          <w:lang w:val="it-IT"/>
        </w:rPr>
        <w:t>, 104274.</w:t>
      </w:r>
    </w:p>
    <w:p w14:paraId="1E399C73" w14:textId="77777777" w:rsidR="00AE3AC5" w:rsidRDefault="00000000">
      <w:pPr>
        <w:pStyle w:val="Literaturverzeichnis"/>
      </w:pPr>
      <w:bookmarkStart w:id="67" w:name="ref-ganea2008transfer"/>
      <w:bookmarkEnd w:id="66"/>
      <w:r w:rsidRPr="00A511C4">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18">
        <w:r>
          <w:rPr>
            <w:rStyle w:val="Hyperlink"/>
          </w:rPr>
          <w:t>https://doi.org/10.1080/15248370701836592</w:t>
        </w:r>
      </w:hyperlink>
    </w:p>
    <w:p w14:paraId="2333B6E7" w14:textId="77777777" w:rsidR="00AE3AC5" w:rsidRDefault="00000000">
      <w:pPr>
        <w:pStyle w:val="Literaturverzeichnis"/>
      </w:pPr>
      <w:bookmarkStart w:id="68" w:name="ref-gelman1998shape"/>
      <w:bookmarkEnd w:id="67"/>
      <w:r>
        <w:t xml:space="preserve">Gelman, S. A., &amp; Ebeling, K. S. (1998). Shape and representational status in children’s early naming. </w:t>
      </w:r>
      <w:r>
        <w:rPr>
          <w:i/>
          <w:iCs/>
        </w:rPr>
        <w:t>Cognition</w:t>
      </w:r>
      <w:r>
        <w:t xml:space="preserve">, </w:t>
      </w:r>
      <w:r>
        <w:rPr>
          <w:i/>
          <w:iCs/>
        </w:rPr>
        <w:t>66</w:t>
      </w:r>
      <w:r>
        <w:t>(2), B35–B47.</w:t>
      </w:r>
    </w:p>
    <w:p w14:paraId="11FC8E91" w14:textId="77777777" w:rsidR="00AE3AC5" w:rsidRDefault="00000000">
      <w:pPr>
        <w:pStyle w:val="Literaturverzeichnis"/>
      </w:pPr>
      <w:bookmarkStart w:id="69" w:name="ref-gentner1977children"/>
      <w:bookmarkEnd w:id="68"/>
      <w:r>
        <w:t xml:space="preserve">Gentner, D. (1977). Children’s performance on a spatial analogies task. </w:t>
      </w:r>
      <w:r>
        <w:rPr>
          <w:i/>
          <w:iCs/>
        </w:rPr>
        <w:t>Child Development</w:t>
      </w:r>
      <w:r>
        <w:t>, 1034–1039.</w:t>
      </w:r>
    </w:p>
    <w:p w14:paraId="20F61191" w14:textId="77777777" w:rsidR="00AE3AC5" w:rsidRDefault="00000000">
      <w:pPr>
        <w:pStyle w:val="Literaturverzeichnis"/>
      </w:pPr>
      <w:bookmarkStart w:id="70" w:name="ref-gentner2017analogy"/>
      <w:bookmarkEnd w:id="69"/>
      <w:r>
        <w:t xml:space="preserve">Gentner, D., &amp; Hoyos, C. (2017). Analogy and abstraction. </w:t>
      </w:r>
      <w:r>
        <w:rPr>
          <w:i/>
          <w:iCs/>
        </w:rPr>
        <w:t>Topics in Cognitive Science</w:t>
      </w:r>
      <w:r>
        <w:t xml:space="preserve">, </w:t>
      </w:r>
      <w:r>
        <w:rPr>
          <w:i/>
          <w:iCs/>
        </w:rPr>
        <w:t>9</w:t>
      </w:r>
      <w:r>
        <w:t>(3), 672–693.</w:t>
      </w:r>
    </w:p>
    <w:p w14:paraId="1B0CA6B1" w14:textId="77777777" w:rsidR="00AE3AC5" w:rsidRDefault="00000000">
      <w:pPr>
        <w:pStyle w:val="Literaturverzeichnis"/>
      </w:pPr>
      <w:bookmarkStart w:id="71" w:name="ref-gerhardstein2002development"/>
      <w:bookmarkEnd w:id="70"/>
      <w:r w:rsidRPr="00A511C4">
        <w:rPr>
          <w:lang w:val="nl-NL"/>
        </w:rPr>
        <w:t xml:space="preserve">Gerhardstein, P., &amp; Rovee-Collier,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4F63A4EC" w14:textId="77777777" w:rsidR="00AE3AC5" w:rsidRDefault="00000000">
      <w:pPr>
        <w:pStyle w:val="Literaturverzeichnis"/>
      </w:pPr>
      <w:bookmarkStart w:id="72" w:name="ref-gick1980analogical"/>
      <w:bookmarkEnd w:id="71"/>
      <w:r>
        <w:lastRenderedPageBreak/>
        <w:t xml:space="preserve">Gick, M. L., &amp; Holyoak, K. J. (1980). Analogical problem solving. </w:t>
      </w:r>
      <w:r>
        <w:rPr>
          <w:i/>
          <w:iCs/>
        </w:rPr>
        <w:t>Cognitive Psychology</w:t>
      </w:r>
      <w:r>
        <w:t xml:space="preserve">, </w:t>
      </w:r>
      <w:r>
        <w:rPr>
          <w:i/>
          <w:iCs/>
        </w:rPr>
        <w:t>12</w:t>
      </w:r>
      <w:r>
        <w:t>(3), 306–355.</w:t>
      </w:r>
    </w:p>
    <w:p w14:paraId="3CBADCA8" w14:textId="77777777" w:rsidR="00AE3AC5" w:rsidRDefault="00000000">
      <w:pPr>
        <w:pStyle w:val="Literaturverzeichnis"/>
      </w:pPr>
      <w:bookmarkStart w:id="73" w:name="ref-goldin1977development"/>
      <w:bookmarkEnd w:id="72"/>
      <w:r>
        <w:t xml:space="preserve">Goldin-Meadow, S., &amp; Feldman, H. (1977). The development of language-like communication without a language model. </w:t>
      </w:r>
      <w:r>
        <w:rPr>
          <w:i/>
          <w:iCs/>
        </w:rPr>
        <w:t>Science</w:t>
      </w:r>
      <w:r>
        <w:t xml:space="preserve">, </w:t>
      </w:r>
      <w:r>
        <w:rPr>
          <w:i/>
          <w:iCs/>
        </w:rPr>
        <w:t>197</w:t>
      </w:r>
      <w:r>
        <w:t>(4301), 401–403.</w:t>
      </w:r>
    </w:p>
    <w:p w14:paraId="67AFFA96" w14:textId="77777777" w:rsidR="00AE3AC5" w:rsidRDefault="00000000">
      <w:pPr>
        <w:pStyle w:val="Literaturverzeichnis"/>
      </w:pPr>
      <w:bookmarkStart w:id="74" w:name="ref-gopnik1988children"/>
      <w:bookmarkEnd w:id="73"/>
      <w:r>
        <w:t xml:space="preserve">Gopnik, A., &amp; Astington, J. (1988). Children’s understanding of representational change and its relation to the understanding of false belief and the appearance-reality distinction. </w:t>
      </w:r>
      <w:r>
        <w:rPr>
          <w:i/>
          <w:iCs/>
        </w:rPr>
        <w:t>Child Development</w:t>
      </w:r>
      <w:r>
        <w:t>, 26–37.</w:t>
      </w:r>
    </w:p>
    <w:p w14:paraId="652D395C" w14:textId="77777777" w:rsidR="00AE3AC5" w:rsidRDefault="00000000">
      <w:pPr>
        <w:pStyle w:val="Literaturverzeichnis"/>
      </w:pPr>
      <w:bookmarkStart w:id="75" w:name="ref-goswami1991analogical"/>
      <w:bookmarkEnd w:id="74"/>
      <w:r>
        <w:t xml:space="preserve">Goswami, U. (1991). Analogical reasoning: What develops? A review of research and theory. </w:t>
      </w:r>
      <w:r>
        <w:rPr>
          <w:i/>
          <w:iCs/>
        </w:rPr>
        <w:t>Child Development</w:t>
      </w:r>
      <w:r>
        <w:t xml:space="preserve">, </w:t>
      </w:r>
      <w:r>
        <w:rPr>
          <w:i/>
          <w:iCs/>
        </w:rPr>
        <w:t>62</w:t>
      </w:r>
      <w:r>
        <w:t>(1), 1–22.</w:t>
      </w:r>
    </w:p>
    <w:p w14:paraId="12FE7BB4" w14:textId="77777777" w:rsidR="00AE3AC5" w:rsidRDefault="00000000">
      <w:pPr>
        <w:pStyle w:val="Literaturverzeichnis"/>
      </w:pPr>
      <w:bookmarkStart w:id="76" w:name="ref-halford1998processing"/>
      <w:bookmarkEnd w:id="75"/>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47DC76D7" w14:textId="77777777" w:rsidR="00AE3AC5" w:rsidRDefault="00000000">
      <w:pPr>
        <w:pStyle w:val="Literaturverzeichnis"/>
      </w:pPr>
      <w:bookmarkStart w:id="77" w:name="ref-haun2011conformity"/>
      <w:bookmarkEnd w:id="76"/>
      <w:r>
        <w:t xml:space="preserve">Haun, D. B., &amp; Tomasello, M. (2011). Conformity to peer pressure in preschool children. </w:t>
      </w:r>
      <w:r>
        <w:rPr>
          <w:i/>
          <w:iCs/>
        </w:rPr>
        <w:t>Child Development</w:t>
      </w:r>
      <w:r>
        <w:t xml:space="preserve">, </w:t>
      </w:r>
      <w:r>
        <w:rPr>
          <w:i/>
          <w:iCs/>
        </w:rPr>
        <w:t>82</w:t>
      </w:r>
      <w:r>
        <w:t>(6), 1759–1767.</w:t>
      </w:r>
    </w:p>
    <w:p w14:paraId="6FC7F6C3" w14:textId="77777777" w:rsidR="00AE3AC5" w:rsidRDefault="00000000">
      <w:pPr>
        <w:pStyle w:val="Literaturverzeichnis"/>
      </w:pPr>
      <w:bookmarkStart w:id="78" w:name="ref-henrich2010weirdest"/>
      <w:bookmarkEnd w:id="77"/>
      <w:r>
        <w:t xml:space="preserve">Henrich, J., Heine, S. J., &amp; Norenzayan, A. (2010). The weirdest people in the world? </w:t>
      </w:r>
      <w:r>
        <w:rPr>
          <w:i/>
          <w:iCs/>
        </w:rPr>
        <w:t>Behavioral and Brain Sciences</w:t>
      </w:r>
      <w:r>
        <w:t xml:space="preserve">, </w:t>
      </w:r>
      <w:r>
        <w:rPr>
          <w:i/>
          <w:iCs/>
        </w:rPr>
        <w:t>33</w:t>
      </w:r>
      <w:r>
        <w:t>(2-3), 61–83.</w:t>
      </w:r>
    </w:p>
    <w:p w14:paraId="65527CD1" w14:textId="77777777" w:rsidR="00AE3AC5" w:rsidRDefault="00000000">
      <w:pPr>
        <w:pStyle w:val="Literaturverzeichnis"/>
      </w:pPr>
      <w:bookmarkStart w:id="79" w:name="ref-House2013ontogeny"/>
      <w:bookmarkEnd w:id="78"/>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288B4002" w14:textId="77777777" w:rsidR="00AE3AC5" w:rsidRDefault="00000000">
      <w:pPr>
        <w:pStyle w:val="Literaturverzeichnis"/>
      </w:pPr>
      <w:bookmarkStart w:id="80" w:name="ref-ifrah2000universal"/>
      <w:bookmarkEnd w:id="79"/>
      <w:r>
        <w:t xml:space="preserve">Ifrah, G. (2000). </w:t>
      </w:r>
      <w:r>
        <w:rPr>
          <w:i/>
          <w:iCs/>
        </w:rPr>
        <w:t>The universal history of numbers</w:t>
      </w:r>
      <w:r>
        <w:t>. Harvill London.</w:t>
      </w:r>
    </w:p>
    <w:p w14:paraId="01235DA7" w14:textId="77777777" w:rsidR="00AE3AC5" w:rsidRDefault="00000000">
      <w:pPr>
        <w:pStyle w:val="Literaturverzeichnis"/>
      </w:pPr>
      <w:bookmarkStart w:id="81" w:name="ref-imai2008sound"/>
      <w:bookmarkEnd w:id="80"/>
      <w:r>
        <w:lastRenderedPageBreak/>
        <w:t xml:space="preserve">Imai, M., Kita, S., Nagumo, M., &amp; Okada, H. (2008). Sound symbolism facilitates early verb learning. </w:t>
      </w:r>
      <w:r>
        <w:rPr>
          <w:i/>
          <w:iCs/>
        </w:rPr>
        <w:t>Cognition</w:t>
      </w:r>
      <w:r>
        <w:t xml:space="preserve">, </w:t>
      </w:r>
      <w:r>
        <w:rPr>
          <w:i/>
          <w:iCs/>
        </w:rPr>
        <w:t>109</w:t>
      </w:r>
      <w:r>
        <w:t>(1), 54–65.</w:t>
      </w:r>
    </w:p>
    <w:p w14:paraId="44CC89BD" w14:textId="77777777" w:rsidR="00AE3AC5" w:rsidRDefault="00000000">
      <w:pPr>
        <w:pStyle w:val="Literaturverzeichnis"/>
      </w:pPr>
      <w:bookmarkStart w:id="82" w:name="ref-jablonski2014inhibitory"/>
      <w:bookmarkEnd w:id="81"/>
      <w:r>
        <w:t xml:space="preserve">Jablonski, S. (2014). Inhibitory control and literacy development among 3-to 5-year-old children. </w:t>
      </w:r>
      <w:r>
        <w:rPr>
          <w:i/>
          <w:iCs/>
        </w:rPr>
        <w:t>L1-Educational Studies in Language and Literature</w:t>
      </w:r>
      <w:r>
        <w:t>, 1–25.</w:t>
      </w:r>
    </w:p>
    <w:p w14:paraId="75CCE8BB" w14:textId="77777777" w:rsidR="00AE3AC5" w:rsidRDefault="00000000">
      <w:pPr>
        <w:pStyle w:val="Literaturverzeichnis"/>
      </w:pPr>
      <w:bookmarkStart w:id="83" w:name="ref-karmiloff1994beyond"/>
      <w:bookmarkEnd w:id="82"/>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510947C4" w14:textId="77777777" w:rsidR="00AE3AC5" w:rsidRPr="00A511C4" w:rsidRDefault="00000000">
      <w:pPr>
        <w:pStyle w:val="Literaturverzeichnis"/>
        <w:rPr>
          <w:lang w:val="it-IT"/>
        </w:rPr>
      </w:pPr>
      <w:bookmarkStart w:id="84" w:name="ref-kellman1983perception"/>
      <w:bookmarkEnd w:id="83"/>
      <w:r>
        <w:t xml:space="preserve">Kellman, P. J., &amp; Spelke, E. S. (1983). Perception of partly occluded objects in infancy. </w:t>
      </w:r>
      <w:r w:rsidRPr="00A511C4">
        <w:rPr>
          <w:i/>
          <w:iCs/>
          <w:lang w:val="it-IT"/>
        </w:rPr>
        <w:t>Cognitive Psychology</w:t>
      </w:r>
      <w:r w:rsidRPr="00A511C4">
        <w:rPr>
          <w:lang w:val="it-IT"/>
        </w:rPr>
        <w:t xml:space="preserve">, </w:t>
      </w:r>
      <w:r w:rsidRPr="00A511C4">
        <w:rPr>
          <w:i/>
          <w:iCs/>
          <w:lang w:val="it-IT"/>
        </w:rPr>
        <w:t>15</w:t>
      </w:r>
      <w:r w:rsidRPr="00A511C4">
        <w:rPr>
          <w:lang w:val="it-IT"/>
        </w:rPr>
        <w:t>(4), 483–524.</w:t>
      </w:r>
    </w:p>
    <w:p w14:paraId="6C131187" w14:textId="77777777" w:rsidR="00AE3AC5" w:rsidRDefault="00000000">
      <w:pPr>
        <w:pStyle w:val="Literaturverzeichnis"/>
      </w:pPr>
      <w:bookmarkStart w:id="85" w:name="ref-knoeferle2017drives"/>
      <w:bookmarkEnd w:id="84"/>
      <w:r w:rsidRPr="00A511C4">
        <w:rPr>
          <w:lang w:val="it-IT"/>
        </w:rPr>
        <w:t xml:space="preserve">Knoeferle, K., Li, J., Maggioni, E., &amp; Spence, C. (2017). </w:t>
      </w:r>
      <w:r>
        <w:t xml:space="preserve">What drives sound symbolism? Different acoustic cues underlie sound-size and sound-shape mappings. </w:t>
      </w:r>
      <w:r>
        <w:rPr>
          <w:i/>
          <w:iCs/>
        </w:rPr>
        <w:t>Scientific Reports</w:t>
      </w:r>
      <w:r>
        <w:t xml:space="preserve">, </w:t>
      </w:r>
      <w:r>
        <w:rPr>
          <w:i/>
          <w:iCs/>
        </w:rPr>
        <w:t>7</w:t>
      </w:r>
      <w:r>
        <w:t>(1), 5562.</w:t>
      </w:r>
    </w:p>
    <w:p w14:paraId="32945464" w14:textId="77777777" w:rsidR="00AE3AC5" w:rsidRDefault="00000000">
      <w:pPr>
        <w:pStyle w:val="Literaturverzeichnis"/>
      </w:pPr>
      <w:bookmarkStart w:id="86" w:name="ref-kroupin2022importance"/>
      <w:bookmarkEnd w:id="85"/>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7F764CFA" w14:textId="77777777" w:rsidR="00AE3AC5" w:rsidRPr="00A511C4" w:rsidRDefault="00000000">
      <w:pPr>
        <w:pStyle w:val="Literaturverzeichnis"/>
        <w:rPr>
          <w:lang w:val="de-DE"/>
        </w:rPr>
      </w:pPr>
      <w:bookmarkStart w:id="87" w:name="ref-kroupin2022you"/>
      <w:bookmarkEnd w:id="86"/>
      <w:r>
        <w:t xml:space="preserve">Kroupin, I. G., &amp; Carey, S. E. (2022b). You cannot find what you are not looking for: Population differences in relational reasoning are sometimes differences in inductive biases alone. </w:t>
      </w:r>
      <w:r w:rsidRPr="00A511C4">
        <w:rPr>
          <w:i/>
          <w:iCs/>
          <w:lang w:val="de-DE"/>
        </w:rPr>
        <w:t>Cognition</w:t>
      </w:r>
      <w:r w:rsidRPr="00A511C4">
        <w:rPr>
          <w:lang w:val="de-DE"/>
        </w:rPr>
        <w:t xml:space="preserve">, </w:t>
      </w:r>
      <w:r w:rsidRPr="00A511C4">
        <w:rPr>
          <w:i/>
          <w:iCs/>
          <w:lang w:val="de-DE"/>
        </w:rPr>
        <w:t>222</w:t>
      </w:r>
      <w:r w:rsidRPr="00A511C4">
        <w:rPr>
          <w:lang w:val="de-DE"/>
        </w:rPr>
        <w:t>, 105007.</w:t>
      </w:r>
    </w:p>
    <w:p w14:paraId="78740C0D" w14:textId="77777777" w:rsidR="00AE3AC5" w:rsidRPr="00A511C4" w:rsidRDefault="00000000">
      <w:pPr>
        <w:pStyle w:val="Literaturverzeichnis"/>
        <w:rPr>
          <w:lang w:val="de-DE"/>
        </w:rPr>
      </w:pPr>
      <w:bookmarkStart w:id="88" w:name="ref-kucharz2012elementarbildung"/>
      <w:bookmarkEnd w:id="87"/>
      <w:r w:rsidRPr="00A511C4">
        <w:rPr>
          <w:lang w:val="de-DE"/>
        </w:rPr>
        <w:t xml:space="preserve">Kucharz, D. (2012). </w:t>
      </w:r>
      <w:r w:rsidRPr="00A511C4">
        <w:rPr>
          <w:i/>
          <w:iCs/>
          <w:lang w:val="de-DE"/>
        </w:rPr>
        <w:t>Elementarbildung</w:t>
      </w:r>
      <w:r w:rsidRPr="00A511C4">
        <w:rPr>
          <w:lang w:val="de-DE"/>
        </w:rPr>
        <w:t>. Weinheim, Basel: Beltz Verlag.</w:t>
      </w:r>
    </w:p>
    <w:p w14:paraId="16FF4B08" w14:textId="77777777" w:rsidR="00AE3AC5" w:rsidRDefault="00000000">
      <w:pPr>
        <w:pStyle w:val="Literaturverzeichnis"/>
      </w:pPr>
      <w:bookmarkStart w:id="89" w:name="ref-landau1986early"/>
      <w:bookmarkEnd w:id="88"/>
      <w:r w:rsidRPr="00A511C4">
        <w:rPr>
          <w:lang w:val="de-DE"/>
        </w:rPr>
        <w:t xml:space="preserve">Landau, B. (1986). </w:t>
      </w:r>
      <w:r>
        <w:t xml:space="preserve">Early map use as an unlearned ability. </w:t>
      </w:r>
      <w:r>
        <w:rPr>
          <w:i/>
          <w:iCs/>
        </w:rPr>
        <w:t>Cognition</w:t>
      </w:r>
      <w:r>
        <w:t xml:space="preserve">, </w:t>
      </w:r>
      <w:r>
        <w:rPr>
          <w:i/>
          <w:iCs/>
        </w:rPr>
        <w:t>22</w:t>
      </w:r>
      <w:r>
        <w:t>(3), 201–223.</w:t>
      </w:r>
    </w:p>
    <w:p w14:paraId="5AEE3291" w14:textId="77777777" w:rsidR="00AE3AC5" w:rsidRDefault="00000000">
      <w:pPr>
        <w:pStyle w:val="Literaturverzeichnis"/>
      </w:pPr>
      <w:bookmarkStart w:id="90" w:name="ref-liben2013role"/>
      <w:bookmarkEnd w:id="89"/>
      <w:r>
        <w:lastRenderedPageBreak/>
        <w:t xml:space="preserve">Liben, L. S., &amp; Downs, R. M. (2013). The role of graphic representations in understanding the world. In </w:t>
      </w:r>
      <w:r>
        <w:rPr>
          <w:i/>
          <w:iCs/>
        </w:rPr>
        <w:t>Visions of aesthetics, the environment &amp; development</w:t>
      </w:r>
      <w:r>
        <w:t xml:space="preserve"> (pp. 139–180). Psychology Press.</w:t>
      </w:r>
    </w:p>
    <w:p w14:paraId="7F16DB82" w14:textId="77777777" w:rsidR="00AE3AC5" w:rsidRDefault="00000000">
      <w:pPr>
        <w:pStyle w:val="Literaturverzeichnis"/>
      </w:pPr>
      <w:bookmarkStart w:id="91" w:name="ref-long2019real"/>
      <w:bookmarkEnd w:id="90"/>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2AF00D94" w14:textId="77777777" w:rsidR="00AE3AC5" w:rsidRDefault="00000000">
      <w:pPr>
        <w:pStyle w:val="Literaturverzeichnis"/>
      </w:pPr>
      <w:bookmarkStart w:id="92" w:name="ref-luquet2001children"/>
      <w:bookmarkEnd w:id="91"/>
      <w:r>
        <w:t xml:space="preserve">Luquet, G.-H., &amp; Costall, A. T. (2001). </w:t>
      </w:r>
      <w:r>
        <w:rPr>
          <w:i/>
          <w:iCs/>
        </w:rPr>
        <w:t>Children’s drawings (le dessin enfantin).</w:t>
      </w:r>
      <w:r>
        <w:t xml:space="preserve"> International Specialized Book Services.</w:t>
      </w:r>
    </w:p>
    <w:p w14:paraId="5645AA46" w14:textId="77777777" w:rsidR="00AE3AC5" w:rsidRDefault="00000000">
      <w:pPr>
        <w:pStyle w:val="Literaturverzeichnis"/>
      </w:pPr>
      <w:bookmarkStart w:id="93" w:name="ref-margiotoudi2020action"/>
      <w:bookmarkEnd w:id="92"/>
      <w:r>
        <w:t xml:space="preserve">Margiotoudi, K., &amp; Pulvermüller, F. (2020). Action sound–shape congruencies explain sound symbolism. </w:t>
      </w:r>
      <w:r>
        <w:rPr>
          <w:i/>
          <w:iCs/>
        </w:rPr>
        <w:t>Scientific Reports</w:t>
      </w:r>
      <w:r>
        <w:t xml:space="preserve">, </w:t>
      </w:r>
      <w:r>
        <w:rPr>
          <w:i/>
          <w:iCs/>
        </w:rPr>
        <w:t>10</w:t>
      </w:r>
      <w:r>
        <w:t>(1), 12706.</w:t>
      </w:r>
    </w:p>
    <w:p w14:paraId="49A23285" w14:textId="77777777" w:rsidR="00AE3AC5" w:rsidRDefault="00000000">
      <w:pPr>
        <w:pStyle w:val="Literaturverzeichnis"/>
      </w:pPr>
      <w:bookmarkStart w:id="94" w:name="ref-maurer2006shape"/>
      <w:bookmarkEnd w:id="93"/>
      <w:r>
        <w:t xml:space="preserve">Maurer, D., Pathman, T., &amp; Mondloch, C. J. (2006). The shape of boubas: Sound–shape correspondences in toddlers and adults. </w:t>
      </w:r>
      <w:r>
        <w:rPr>
          <w:i/>
          <w:iCs/>
        </w:rPr>
        <w:t>Developmental Science</w:t>
      </w:r>
      <w:r>
        <w:t xml:space="preserve">, </w:t>
      </w:r>
      <w:r>
        <w:rPr>
          <w:i/>
          <w:iCs/>
        </w:rPr>
        <w:t>9</w:t>
      </w:r>
      <w:r>
        <w:t>(3), 316–322.</w:t>
      </w:r>
    </w:p>
    <w:p w14:paraId="6E78F227" w14:textId="77777777" w:rsidR="00AE3AC5" w:rsidRDefault="00000000">
      <w:pPr>
        <w:pStyle w:val="Literaturverzeichnis"/>
      </w:pPr>
      <w:bookmarkStart w:id="95" w:name="ref-mcelreath2018statistical"/>
      <w:bookmarkEnd w:id="94"/>
      <w:r>
        <w:t xml:space="preserve">McElreath, R. (2018). </w:t>
      </w:r>
      <w:r>
        <w:rPr>
          <w:i/>
          <w:iCs/>
        </w:rPr>
        <w:t>Statistical rethinking: A bayesian course with examples in r and stan</w:t>
      </w:r>
      <w:r>
        <w:t>. Chapman; Hall/CRC.</w:t>
      </w:r>
    </w:p>
    <w:p w14:paraId="30EEBA34" w14:textId="77777777" w:rsidR="00AE3AC5" w:rsidRDefault="00000000">
      <w:pPr>
        <w:pStyle w:val="Literaturverzeichnis"/>
      </w:pPr>
      <w:bookmarkStart w:id="96" w:name="ref-mix2002quantitative"/>
      <w:bookmarkEnd w:id="95"/>
      <w:r>
        <w:t xml:space="preserve">Mix, K. S., Huttenlocher, J., &amp; Levine, S. C. (2002). </w:t>
      </w:r>
      <w:r>
        <w:rPr>
          <w:i/>
          <w:iCs/>
        </w:rPr>
        <w:t>Quantitative development in infancy and early childhood</w:t>
      </w:r>
      <w:r>
        <w:t>. Oxford University Press.</w:t>
      </w:r>
    </w:p>
    <w:p w14:paraId="516A366E" w14:textId="77777777" w:rsidR="00AE3AC5" w:rsidRDefault="00000000">
      <w:pPr>
        <w:pStyle w:val="Literaturverzeichnis"/>
      </w:pPr>
      <w:bookmarkStart w:id="97" w:name="ref-nolle2020language"/>
      <w:bookmarkEnd w:id="96"/>
      <w:r>
        <w:t xml:space="preserve">Nölle, J., Fusaroli, R., Mills, G. J., &amp; Tylén, K. (2020). Language as shaped by the environment: Linguistic construal in a collaborative spatial task. </w:t>
      </w:r>
      <w:r>
        <w:rPr>
          <w:i/>
          <w:iCs/>
        </w:rPr>
        <w:t>Palgrave Communications</w:t>
      </w:r>
      <w:r>
        <w:t xml:space="preserve">, </w:t>
      </w:r>
      <w:r>
        <w:rPr>
          <w:i/>
          <w:iCs/>
        </w:rPr>
        <w:t>6</w:t>
      </w:r>
      <w:r>
        <w:t>(1), 1–10.</w:t>
      </w:r>
    </w:p>
    <w:p w14:paraId="72B6F61F" w14:textId="77777777" w:rsidR="00AE3AC5" w:rsidRDefault="00000000">
      <w:pPr>
        <w:pStyle w:val="Literaturverzeichnis"/>
      </w:pPr>
      <w:bookmarkStart w:id="98" w:name="ref-piaget1997mental"/>
      <w:bookmarkEnd w:id="97"/>
      <w:r>
        <w:t xml:space="preserve">Piaget, J., Inhelder, B., &amp; Bovet, M. (1997). </w:t>
      </w:r>
      <w:r>
        <w:rPr>
          <w:i/>
          <w:iCs/>
        </w:rPr>
        <w:t>Mental imagery in the child: A study of the development of imaginal representation</w:t>
      </w:r>
      <w:r>
        <w:t xml:space="preserve">. Routledge. Retrieved from </w:t>
      </w:r>
      <w:hyperlink r:id="rId19">
        <w:r>
          <w:rPr>
            <w:rStyle w:val="Hyperlink"/>
          </w:rPr>
          <w:t>https://books.google.de/books?id=BXrHqqUYu0QC</w:t>
        </w:r>
      </w:hyperlink>
    </w:p>
    <w:p w14:paraId="700CED22" w14:textId="77777777" w:rsidR="00AE3AC5" w:rsidRDefault="00000000">
      <w:pPr>
        <w:pStyle w:val="Literaturverzeichnis"/>
      </w:pPr>
      <w:bookmarkStart w:id="99" w:name="ref-pierroutsakos2003infants"/>
      <w:bookmarkEnd w:id="98"/>
      <w:r>
        <w:lastRenderedPageBreak/>
        <w:t xml:space="preserve">Pierroutsakos, S. L., &amp; DeLoache, J. S. (2003). Infants’ manual exploration of pictorial objects varying in realism. </w:t>
      </w:r>
      <w:r>
        <w:rPr>
          <w:i/>
          <w:iCs/>
        </w:rPr>
        <w:t>Infancy</w:t>
      </w:r>
      <w:r>
        <w:t xml:space="preserve">, </w:t>
      </w:r>
      <w:r>
        <w:rPr>
          <w:i/>
          <w:iCs/>
        </w:rPr>
        <w:t>4</w:t>
      </w:r>
      <w:r>
        <w:t>(1), 141–156.</w:t>
      </w:r>
    </w:p>
    <w:p w14:paraId="3AF22484" w14:textId="77777777" w:rsidR="00AE3AC5" w:rsidRDefault="00000000">
      <w:pPr>
        <w:pStyle w:val="Literaturverzeichnis"/>
      </w:pPr>
      <w:bookmarkStart w:id="100" w:name="ref-rakoczy2022foundations"/>
      <w:bookmarkEnd w:id="99"/>
      <w:r>
        <w:t xml:space="preserve">Rakoczy, H. (2022). Foundations of theory of mind and its development in early childhood. </w:t>
      </w:r>
      <w:r>
        <w:rPr>
          <w:i/>
          <w:iCs/>
        </w:rPr>
        <w:t>Nature Reviews Psychology</w:t>
      </w:r>
      <w:r>
        <w:t xml:space="preserve">, </w:t>
      </w:r>
      <w:r>
        <w:rPr>
          <w:i/>
          <w:iCs/>
        </w:rPr>
        <w:t>1</w:t>
      </w:r>
      <w:r>
        <w:t>(4), 223–235.</w:t>
      </w:r>
    </w:p>
    <w:p w14:paraId="766FBCD5" w14:textId="77777777" w:rsidR="00AE3AC5" w:rsidRDefault="00000000">
      <w:pPr>
        <w:pStyle w:val="Literaturverzeichnis"/>
      </w:pPr>
      <w:bookmarkStart w:id="101" w:name="ref-rattermann1998more"/>
      <w:bookmarkEnd w:id="100"/>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37AC3243" w14:textId="77777777" w:rsidR="00AE3AC5" w:rsidRDefault="00000000">
      <w:pPr>
        <w:pStyle w:val="Literaturverzeichnis"/>
      </w:pPr>
      <w:bookmarkStart w:id="102" w:name="ref-raviv2018systematicity"/>
      <w:bookmarkEnd w:id="101"/>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641109FB" w14:textId="77777777" w:rsidR="00AE3AC5" w:rsidRDefault="00000000">
      <w:pPr>
        <w:pStyle w:val="Literaturverzeichnis"/>
      </w:pPr>
      <w:bookmarkStart w:id="103" w:name="ref-reilly2022developmental"/>
      <w:bookmarkEnd w:id="102"/>
      <w:r>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7CB8D39F" w14:textId="77777777" w:rsidR="00AE3AC5" w:rsidRDefault="00000000">
      <w:pPr>
        <w:pStyle w:val="Literaturverzeichnis"/>
      </w:pPr>
      <w:bookmarkStart w:id="104" w:name="ref-richland2006children"/>
      <w:bookmarkEnd w:id="103"/>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599B7B1D" w14:textId="77777777" w:rsidR="00AE3AC5" w:rsidRDefault="00000000">
      <w:pPr>
        <w:pStyle w:val="Literaturverzeichnis"/>
      </w:pPr>
      <w:bookmarkStart w:id="105" w:name="ref-schmidt2021fruhpadagogische"/>
      <w:bookmarkEnd w:id="104"/>
      <w:r>
        <w:t xml:space="preserve">Schmidt, T., Sauerbrey, U., &amp; Smidt, W. (2021). </w:t>
      </w:r>
      <w:r w:rsidRPr="00A511C4">
        <w:rPr>
          <w:i/>
          <w:iCs/>
          <w:lang w:val="de-DE"/>
        </w:rPr>
        <w:t>Frühpädagogische handlungskonzepte: Eine wissenschaftliche bestandsaufnahme</w:t>
      </w:r>
      <w:r w:rsidRPr="00A511C4">
        <w:rPr>
          <w:lang w:val="de-DE"/>
        </w:rPr>
        <w:t xml:space="preserve">. </w:t>
      </w:r>
      <w:r>
        <w:t>UTB.</w:t>
      </w:r>
    </w:p>
    <w:p w14:paraId="3CCEE738" w14:textId="77777777" w:rsidR="00AE3AC5" w:rsidRDefault="00000000">
      <w:pPr>
        <w:pStyle w:val="Literaturverzeichnis"/>
      </w:pPr>
      <w:bookmarkStart w:id="106" w:name="ref-shivaram2023children"/>
      <w:bookmarkEnd w:id="105"/>
      <w:r>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68892775" w14:textId="77777777" w:rsidR="00AE3AC5" w:rsidRDefault="00000000">
      <w:pPr>
        <w:pStyle w:val="Literaturverzeichnis"/>
      </w:pPr>
      <w:bookmarkStart w:id="107" w:name="ref-shusterman2008young"/>
      <w:bookmarkEnd w:id="106"/>
      <w:r w:rsidRPr="00A511C4">
        <w:rPr>
          <w:lang w:val="nl-NL"/>
        </w:rPr>
        <w:lastRenderedPageBreak/>
        <w:t xml:space="preserve">Shusterman, A., Ah Lee, S., &amp; Spelke, E. S. (2008). </w:t>
      </w:r>
      <w:r>
        <w:t xml:space="preserve">Young children’s spontaneous use of geometry in maps. </w:t>
      </w:r>
      <w:r>
        <w:rPr>
          <w:i/>
          <w:iCs/>
        </w:rPr>
        <w:t>Developmental Science</w:t>
      </w:r>
      <w:r>
        <w:t xml:space="preserve">, </w:t>
      </w:r>
      <w:r>
        <w:rPr>
          <w:i/>
          <w:iCs/>
        </w:rPr>
        <w:t>11</w:t>
      </w:r>
      <w:r>
        <w:t>(2), F1–F7.</w:t>
      </w:r>
    </w:p>
    <w:p w14:paraId="70BBA4B8" w14:textId="77777777" w:rsidR="00AE3AC5" w:rsidRDefault="00000000">
      <w:pPr>
        <w:pStyle w:val="Literaturverzeichnis"/>
      </w:pPr>
      <w:bookmarkStart w:id="108" w:name="ref-sidhu2025sound"/>
      <w:bookmarkEnd w:id="107"/>
      <w:r>
        <w:t xml:space="preserve">Sidhu, D. M. (2025). Sound symbolism in the lexicon: A review of iconic-systematicity. </w:t>
      </w:r>
      <w:r>
        <w:rPr>
          <w:i/>
          <w:iCs/>
        </w:rPr>
        <w:t>Language and Linguistics Compass</w:t>
      </w:r>
      <w:r>
        <w:t xml:space="preserve">, </w:t>
      </w:r>
      <w:r>
        <w:rPr>
          <w:i/>
          <w:iCs/>
        </w:rPr>
        <w:t>19</w:t>
      </w:r>
      <w:r>
        <w:t>(1), e70006.</w:t>
      </w:r>
    </w:p>
    <w:p w14:paraId="69AB124A" w14:textId="77777777" w:rsidR="00AE3AC5" w:rsidRDefault="00000000">
      <w:pPr>
        <w:pStyle w:val="Literaturverzeichnis"/>
      </w:pPr>
      <w:bookmarkStart w:id="109" w:name="ref-silver2022environmental"/>
      <w:bookmarkEnd w:id="108"/>
      <w:r>
        <w:t xml:space="preserve">Silver, A. M., &amp; Libertus, M. E. (2022). Environmental influences on mathematics performance in early childhood. </w:t>
      </w:r>
      <w:r>
        <w:rPr>
          <w:i/>
          <w:iCs/>
        </w:rPr>
        <w:t>Nature Reviews Psychology</w:t>
      </w:r>
      <w:r>
        <w:t xml:space="preserve">, </w:t>
      </w:r>
      <w:r>
        <w:rPr>
          <w:i/>
          <w:iCs/>
        </w:rPr>
        <w:t>1</w:t>
      </w:r>
      <w:r>
        <w:t>(7), 407–418.</w:t>
      </w:r>
    </w:p>
    <w:p w14:paraId="62E98D01" w14:textId="77777777" w:rsidR="00AE3AC5" w:rsidRDefault="00000000">
      <w:pPr>
        <w:pStyle w:val="Literaturverzeichnis"/>
      </w:pPr>
      <w:bookmarkStart w:id="110" w:name="ref-simms2018working"/>
      <w:bookmarkEnd w:id="109"/>
      <w:r>
        <w:t xml:space="preserve">Simms, N. K., Frausel, R. R., &amp; Richland, L. E. (2018). Working memory predicts children’s analogical reasoning. </w:t>
      </w:r>
      <w:r>
        <w:rPr>
          <w:i/>
          <w:iCs/>
        </w:rPr>
        <w:t>Journal of Experimental Child Psychology</w:t>
      </w:r>
      <w:r>
        <w:t xml:space="preserve">, </w:t>
      </w:r>
      <w:r>
        <w:rPr>
          <w:i/>
          <w:iCs/>
        </w:rPr>
        <w:t>166</w:t>
      </w:r>
      <w:r>
        <w:t>, 160–177.</w:t>
      </w:r>
    </w:p>
    <w:p w14:paraId="34D33D53" w14:textId="77777777" w:rsidR="00AE3AC5" w:rsidRDefault="00000000">
      <w:pPr>
        <w:pStyle w:val="Literaturverzeichnis"/>
      </w:pPr>
      <w:bookmarkStart w:id="111" w:name="ref-sivula2020uncertainty"/>
      <w:bookmarkEnd w:id="110"/>
      <w:r>
        <w:t xml:space="preserve">Sivula, T., Magnusson, M., Matamoros, A. A., &amp; Vehtari, A. (2020). Uncertainty in bayesian leave-one-out cross-validation based model comparison. </w:t>
      </w:r>
      <w:r>
        <w:rPr>
          <w:i/>
          <w:iCs/>
        </w:rPr>
        <w:t>arXiv Preprint arXiv:2008.10296</w:t>
      </w:r>
      <w:r>
        <w:t>.</w:t>
      </w:r>
    </w:p>
    <w:p w14:paraId="26E46A74" w14:textId="77777777" w:rsidR="00AE3AC5" w:rsidRDefault="00000000">
      <w:pPr>
        <w:pStyle w:val="Literaturverzeichnis"/>
      </w:pPr>
      <w:bookmarkStart w:id="112" w:name="ref-RStan"/>
      <w:bookmarkEnd w:id="111"/>
      <w:r>
        <w:t xml:space="preserve">Stan Development Team. (n.d.). </w:t>
      </w:r>
      <w:r>
        <w:rPr>
          <w:i/>
          <w:iCs/>
        </w:rPr>
        <w:t>RStan: The R interface to Stan</w:t>
      </w:r>
      <w:r>
        <w:t xml:space="preserve">. Retrieved from </w:t>
      </w:r>
      <w:hyperlink r:id="rId20">
        <w:r>
          <w:rPr>
            <w:rStyle w:val="Hyperlink"/>
          </w:rPr>
          <w:t>https://mc-stan.org/</w:t>
        </w:r>
      </w:hyperlink>
    </w:p>
    <w:p w14:paraId="23D49AB1" w14:textId="77777777" w:rsidR="00AE3AC5" w:rsidRDefault="00000000">
      <w:pPr>
        <w:pStyle w:val="Literaturverzeichnis"/>
      </w:pPr>
      <w:bookmarkStart w:id="113" w:name="ref-starr2013number"/>
      <w:bookmarkEnd w:id="112"/>
      <w:r w:rsidRPr="00A511C4">
        <w:rPr>
          <w:lang w:val="fr-FR"/>
        </w:rPr>
        <w:t xml:space="preserve">Starr, A., Libertus, M. E., &amp; Brannon, E. M. (2013). </w:t>
      </w:r>
      <w:r>
        <w:t xml:space="preserve">Number sense in infancy predicts mathematical abilities in childhood. </w:t>
      </w:r>
      <w:r>
        <w:rPr>
          <w:i/>
          <w:iCs/>
        </w:rPr>
        <w:t>Proceedings of the National Academy of Sciences</w:t>
      </w:r>
      <w:r>
        <w:t xml:space="preserve">, </w:t>
      </w:r>
      <w:r>
        <w:rPr>
          <w:i/>
          <w:iCs/>
        </w:rPr>
        <w:t>110</w:t>
      </w:r>
      <w:r>
        <w:t>(45), 18116–18120.</w:t>
      </w:r>
    </w:p>
    <w:p w14:paraId="2E3F34C5" w14:textId="77777777" w:rsidR="00AE3AC5" w:rsidRDefault="00000000">
      <w:pPr>
        <w:pStyle w:val="Literaturverzeichnis"/>
      </w:pPr>
      <w:bookmarkStart w:id="114" w:name="ref-stevenson2014visual"/>
      <w:bookmarkEnd w:id="113"/>
      <w:r>
        <w:t xml:space="preserve">Stevenson, C. E., Alberto, R. A., Boom, M. A. van den, &amp; Boeck, P. A. de. (2014). Visual relations children find easy and difficult to process in figural analogies. </w:t>
      </w:r>
      <w:r>
        <w:rPr>
          <w:i/>
          <w:iCs/>
        </w:rPr>
        <w:t>Frontiers in Psychology</w:t>
      </w:r>
      <w:r>
        <w:t xml:space="preserve">, </w:t>
      </w:r>
      <w:r>
        <w:rPr>
          <w:i/>
          <w:iCs/>
        </w:rPr>
        <w:t>5</w:t>
      </w:r>
      <w:r>
        <w:t>, 827.</w:t>
      </w:r>
    </w:p>
    <w:p w14:paraId="49D83372" w14:textId="77777777" w:rsidR="00AE3AC5" w:rsidRDefault="00000000">
      <w:pPr>
        <w:pStyle w:val="Literaturverzeichnis"/>
      </w:pPr>
      <w:bookmarkStart w:id="115" w:name="ref-thibaut2010development"/>
      <w:bookmarkEnd w:id="114"/>
      <w:r>
        <w:lastRenderedPageBreak/>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063A7A01" w14:textId="77777777" w:rsidR="00AE3AC5" w:rsidRDefault="00000000">
      <w:pPr>
        <w:pStyle w:val="Literaturverzeichnis"/>
      </w:pPr>
      <w:bookmarkStart w:id="116" w:name="ref-Tomasello2014natural"/>
      <w:bookmarkEnd w:id="115"/>
      <w:r>
        <w:t xml:space="preserve">Tomasello, M. (2014). </w:t>
      </w:r>
      <w:r>
        <w:rPr>
          <w:i/>
          <w:iCs/>
        </w:rPr>
        <w:t>A natural history of human thinking</w:t>
      </w:r>
      <w:r>
        <w:t>. Cambridge, Massachusetts; London, England: Harvard University Press.</w:t>
      </w:r>
    </w:p>
    <w:p w14:paraId="0C6726D3" w14:textId="77777777" w:rsidR="00AE3AC5" w:rsidRDefault="00000000">
      <w:pPr>
        <w:pStyle w:val="Literaturverzeichnis"/>
      </w:pPr>
      <w:bookmarkStart w:id="117" w:name="ref-uttal1989young"/>
      <w:bookmarkEnd w:id="116"/>
      <w:r>
        <w:t xml:space="preserve">Uttal, D. H., &amp; Wellman, H. M. (1989). Young children’s representation of spatial information acquired from maps. </w:t>
      </w:r>
      <w:r>
        <w:rPr>
          <w:i/>
          <w:iCs/>
        </w:rPr>
        <w:t>Developmental Psychology</w:t>
      </w:r>
      <w:r>
        <w:t xml:space="preserve">, </w:t>
      </w:r>
      <w:r>
        <w:rPr>
          <w:i/>
          <w:iCs/>
        </w:rPr>
        <w:t>25</w:t>
      </w:r>
      <w:r>
        <w:t>(1), 128.</w:t>
      </w:r>
    </w:p>
    <w:p w14:paraId="6C491171" w14:textId="77777777" w:rsidR="00AE3AC5" w:rsidRDefault="00000000">
      <w:pPr>
        <w:pStyle w:val="Literaturverzeichnis"/>
      </w:pPr>
      <w:bookmarkStart w:id="118" w:name="ref-valenza2006perceptual"/>
      <w:bookmarkEnd w:id="117"/>
      <w:r>
        <w:t xml:space="preserve">Valenza, E., Leo, I., Gava, L., &amp; Simion, F. (2006). Perceptual completion in newborn human infants. </w:t>
      </w:r>
      <w:r>
        <w:rPr>
          <w:i/>
          <w:iCs/>
        </w:rPr>
        <w:t>Child Development</w:t>
      </w:r>
      <w:r>
        <w:t xml:space="preserve">, </w:t>
      </w:r>
      <w:r>
        <w:rPr>
          <w:i/>
          <w:iCs/>
        </w:rPr>
        <w:t>77</w:t>
      </w:r>
      <w:r>
        <w:t>(6), 1810–1821.</w:t>
      </w:r>
    </w:p>
    <w:p w14:paraId="4A2EFD02" w14:textId="77777777" w:rsidR="00AE3AC5" w:rsidRDefault="00000000">
      <w:pPr>
        <w:pStyle w:val="Literaturverzeichnis"/>
      </w:pPr>
      <w:bookmarkStart w:id="119" w:name="ref-verdine2017shape"/>
      <w:bookmarkEnd w:id="118"/>
      <w:r>
        <w:t xml:space="preserve">Verdine, B. N., Bunger, A., Athanasopoulou, A., Golinkoff, R. M., &amp; Hirsh-Pasek, K. (2017). Shape up: An eye-tracking study of preschoolers’ shape name processing and spatial development. </w:t>
      </w:r>
      <w:r>
        <w:rPr>
          <w:i/>
          <w:iCs/>
        </w:rPr>
        <w:t>Developmental Psychology</w:t>
      </w:r>
      <w:r>
        <w:t xml:space="preserve">, </w:t>
      </w:r>
      <w:r>
        <w:rPr>
          <w:i/>
          <w:iCs/>
        </w:rPr>
        <w:t>53</w:t>
      </w:r>
      <w:r>
        <w:t>(10), 1869.</w:t>
      </w:r>
    </w:p>
    <w:p w14:paraId="07AD115E" w14:textId="77777777" w:rsidR="00AE3AC5" w:rsidRDefault="00000000">
      <w:pPr>
        <w:pStyle w:val="Literaturverzeichnis"/>
      </w:pPr>
      <w:bookmarkStart w:id="120" w:name="ref-verdine2016shape"/>
      <w:bookmarkEnd w:id="119"/>
      <w:r>
        <w:t xml:space="preserve">Verdine, B. N., Lucca, K. R., Golinkoff, R. M., Hirsh-Pasek, K., &amp; Newcombe, N. S. (2016). The shape of things: The origin of young children’s knowledge of the names and properties of geometric forms. </w:t>
      </w:r>
      <w:r>
        <w:rPr>
          <w:i/>
          <w:iCs/>
        </w:rPr>
        <w:t>Journal of Cognition and Development</w:t>
      </w:r>
      <w:r>
        <w:t xml:space="preserve">, </w:t>
      </w:r>
      <w:r>
        <w:rPr>
          <w:i/>
          <w:iCs/>
        </w:rPr>
        <w:t>17</w:t>
      </w:r>
      <w:r>
        <w:t>(1), 142–161.</w:t>
      </w:r>
    </w:p>
    <w:p w14:paraId="157FFC3F" w14:textId="77777777" w:rsidR="00AE3AC5" w:rsidRDefault="00000000">
      <w:pPr>
        <w:pStyle w:val="Literaturverzeichnis"/>
      </w:pPr>
      <w:bookmarkStart w:id="121" w:name="ref-Vygotsky1980mind"/>
      <w:bookmarkEnd w:id="120"/>
      <w:r>
        <w:t xml:space="preserve">Vygotsky, L. S. (1980). </w:t>
      </w:r>
      <w:r>
        <w:rPr>
          <w:i/>
          <w:iCs/>
        </w:rPr>
        <w:t>Mind in society: The development of higher psychological processes</w:t>
      </w:r>
      <w:r>
        <w:t>. Cambridge, MA: Harvard University Press.</w:t>
      </w:r>
    </w:p>
    <w:p w14:paraId="69FCC018" w14:textId="77777777" w:rsidR="00AE3AC5" w:rsidRDefault="00000000">
      <w:pPr>
        <w:pStyle w:val="Literaturverzeichnis"/>
      </w:pPr>
      <w:bookmarkStart w:id="122" w:name="ref-wellman2001meta"/>
      <w:bookmarkEnd w:id="121"/>
      <w:r>
        <w:t xml:space="preserve">Wellman, H., Cross, D., &amp; Watson, J. (2001). Meta-analysis of theory-of-mind development: The truth about false belief. </w:t>
      </w:r>
      <w:r>
        <w:rPr>
          <w:i/>
          <w:iCs/>
        </w:rPr>
        <w:t>Child Development</w:t>
      </w:r>
      <w:r>
        <w:t xml:space="preserve">, </w:t>
      </w:r>
      <w:r>
        <w:rPr>
          <w:i/>
          <w:iCs/>
        </w:rPr>
        <w:t>72</w:t>
      </w:r>
      <w:r>
        <w:t>(3), 655–684.</w:t>
      </w:r>
    </w:p>
    <w:p w14:paraId="2062564D" w14:textId="77777777" w:rsidR="00AE3AC5" w:rsidRDefault="00000000">
      <w:pPr>
        <w:pStyle w:val="Literaturverzeichnis"/>
      </w:pPr>
      <w:bookmarkStart w:id="123" w:name="ref-wittgenstein2009philosophical"/>
      <w:bookmarkEnd w:id="122"/>
      <w:r>
        <w:t xml:space="preserve">Wittgenstein, L. (2009). </w:t>
      </w:r>
      <w:r>
        <w:rPr>
          <w:i/>
          <w:iCs/>
        </w:rPr>
        <w:t>Philosophical investigations</w:t>
      </w:r>
      <w:r>
        <w:t>. John Wiley &amp; Sons.</w:t>
      </w:r>
    </w:p>
    <w:p w14:paraId="77958BEE" w14:textId="77777777" w:rsidR="00AE3AC5" w:rsidRDefault="00000000">
      <w:pPr>
        <w:pStyle w:val="Literaturverzeichnis"/>
      </w:pPr>
      <w:bookmarkStart w:id="124" w:name="ref-wynn1990children"/>
      <w:bookmarkEnd w:id="123"/>
      <w:r>
        <w:lastRenderedPageBreak/>
        <w:t xml:space="preserve">Wynn, K. (1990). Children’s understanding of counting. </w:t>
      </w:r>
      <w:r>
        <w:rPr>
          <w:i/>
          <w:iCs/>
        </w:rPr>
        <w:t>Cognition</w:t>
      </w:r>
      <w:r>
        <w:t xml:space="preserve">, </w:t>
      </w:r>
      <w:r>
        <w:rPr>
          <w:i/>
          <w:iCs/>
        </w:rPr>
        <w:t>36</w:t>
      </w:r>
      <w:r>
        <w:t>(2), 155–193.</w:t>
      </w:r>
    </w:p>
    <w:p w14:paraId="3F261FFF" w14:textId="77777777" w:rsidR="00AE3AC5" w:rsidRDefault="00000000">
      <w:pPr>
        <w:pStyle w:val="Literaturverzeichnis"/>
      </w:pPr>
      <w:bookmarkStart w:id="125" w:name="ref-xu2007number"/>
      <w:bookmarkEnd w:id="124"/>
      <w:r>
        <w:t xml:space="preserve">Xu, F., &amp; Arriaga, R. I. (2007). Number discrimination in 10-month-old infants. </w:t>
      </w:r>
      <w:r>
        <w:rPr>
          <w:i/>
          <w:iCs/>
        </w:rPr>
        <w:t>British Journal of Developmental Psychology</w:t>
      </w:r>
      <w:r>
        <w:t xml:space="preserve">, </w:t>
      </w:r>
      <w:r>
        <w:rPr>
          <w:i/>
          <w:iCs/>
        </w:rPr>
        <w:t>25</w:t>
      </w:r>
      <w:r>
        <w:t>(1), 103–108.</w:t>
      </w:r>
    </w:p>
    <w:p w14:paraId="34A66143" w14:textId="77777777" w:rsidR="00AE3AC5" w:rsidRDefault="00000000">
      <w:pPr>
        <w:pStyle w:val="Literaturverzeichnis"/>
      </w:pPr>
      <w:bookmarkStart w:id="126" w:name="ref-ZAMBRZYCKA2017144"/>
      <w:bookmarkEnd w:id="125"/>
      <w:r>
        <w:t xml:space="preserve">Zambrzycka, J., Kotsopoulos, D., Lee, J., &amp; Makosz, S. (2017). In any way, shape, or form? Toddlers’ understanding of shapes. </w:t>
      </w:r>
      <w:r>
        <w:rPr>
          <w:i/>
          <w:iCs/>
        </w:rPr>
        <w:t>Infant Behavior and Development</w:t>
      </w:r>
      <w:r>
        <w:t xml:space="preserve">, </w:t>
      </w:r>
      <w:r>
        <w:rPr>
          <w:i/>
          <w:iCs/>
        </w:rPr>
        <w:t>46</w:t>
      </w:r>
      <w:r>
        <w:t>, 144–157. https://doi.org/</w:t>
      </w:r>
      <w:hyperlink r:id="rId21">
        <w:r>
          <w:rPr>
            <w:rStyle w:val="Hyperlink"/>
          </w:rPr>
          <w:t>https://doi.org/10.1016/j.infbeh.2016.12.002</w:t>
        </w:r>
      </w:hyperlink>
    </w:p>
    <w:p w14:paraId="6DEE2932" w14:textId="77777777" w:rsidR="00AE3AC5" w:rsidRDefault="00000000">
      <w:pPr>
        <w:pStyle w:val="Literaturverzeichnis"/>
      </w:pPr>
      <w:bookmarkStart w:id="127" w:name="ref-yinyuan2022a"/>
      <w:bookmarkEnd w:id="126"/>
      <w:r w:rsidRPr="00A511C4">
        <w:rPr>
          <w:lang w:val="de-DE"/>
        </w:rPr>
        <w:t xml:space="preserve">Zheng, Y., Matlen, B. J., &amp; Gentner, D. (2022). </w:t>
      </w:r>
      <w:r>
        <w:t xml:space="preserve">Spatial alignment facilitates visual comparison in children. </w:t>
      </w:r>
      <w:r>
        <w:rPr>
          <w:i/>
          <w:iCs/>
        </w:rPr>
        <w:t>Annual Meeting of the Cognitive Science Society</w:t>
      </w:r>
      <w:r>
        <w:t>.</w:t>
      </w:r>
      <w:bookmarkEnd w:id="26"/>
      <w:bookmarkEnd w:id="28"/>
      <w:bookmarkEnd w:id="127"/>
    </w:p>
    <w:sectPr w:rsidR="00AE3AC5" w:rsidSect="00084144">
      <w:headerReference w:type="even" r:id="rId22"/>
      <w:headerReference w:type="default" r:id="rId23"/>
      <w:headerReference w:type="first" r:id="rId2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07478" w14:textId="77777777" w:rsidR="00F67D04" w:rsidRDefault="00F67D04">
      <w:pPr>
        <w:spacing w:before="0" w:after="0" w:line="240" w:lineRule="auto"/>
      </w:pPr>
      <w:r>
        <w:separator/>
      </w:r>
    </w:p>
  </w:endnote>
  <w:endnote w:type="continuationSeparator" w:id="0">
    <w:p w14:paraId="7C5420DD" w14:textId="77777777" w:rsidR="00F67D04" w:rsidRDefault="00F67D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7609" w14:textId="77777777" w:rsidR="00F67D04" w:rsidRDefault="00F67D04">
      <w:pPr>
        <w:spacing w:before="0" w:after="0" w:line="240" w:lineRule="auto"/>
      </w:pPr>
      <w:r>
        <w:separator/>
      </w:r>
    </w:p>
  </w:footnote>
  <w:footnote w:type="continuationSeparator" w:id="0">
    <w:p w14:paraId="343885E9" w14:textId="77777777" w:rsidR="00F67D04" w:rsidRDefault="00F67D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192F7ADA"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D88CE1E"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702CEF4"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1CA2EA5"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6C8A8A78"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9EF05BF"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0540081">
    <w:abstractNumId w:val="13"/>
  </w:num>
  <w:num w:numId="2" w16cid:durableId="1293318669">
    <w:abstractNumId w:val="13"/>
  </w:num>
  <w:num w:numId="3" w16cid:durableId="860045540">
    <w:abstractNumId w:val="14"/>
  </w:num>
  <w:num w:numId="4" w16cid:durableId="1234465151">
    <w:abstractNumId w:val="1"/>
  </w:num>
  <w:num w:numId="5" w16cid:durableId="1688751717">
    <w:abstractNumId w:val="2"/>
  </w:num>
  <w:num w:numId="6" w16cid:durableId="1379547507">
    <w:abstractNumId w:val="3"/>
  </w:num>
  <w:num w:numId="7" w16cid:durableId="1363164552">
    <w:abstractNumId w:val="4"/>
  </w:num>
  <w:num w:numId="8" w16cid:durableId="1856964228">
    <w:abstractNumId w:val="9"/>
  </w:num>
  <w:num w:numId="9" w16cid:durableId="329527114">
    <w:abstractNumId w:val="5"/>
  </w:num>
  <w:num w:numId="10" w16cid:durableId="314644954">
    <w:abstractNumId w:val="6"/>
  </w:num>
  <w:num w:numId="11" w16cid:durableId="1474441913">
    <w:abstractNumId w:val="7"/>
  </w:num>
  <w:num w:numId="12" w16cid:durableId="1116172650">
    <w:abstractNumId w:val="8"/>
  </w:num>
  <w:num w:numId="13" w16cid:durableId="473062909">
    <w:abstractNumId w:val="10"/>
  </w:num>
  <w:num w:numId="14" w16cid:durableId="15738613">
    <w:abstractNumId w:val="14"/>
  </w:num>
  <w:num w:numId="15" w16cid:durableId="1789934607">
    <w:abstractNumId w:val="0"/>
  </w:num>
  <w:num w:numId="16" w16cid:durableId="1361513629">
    <w:abstractNumId w:val="0"/>
  </w:num>
  <w:num w:numId="17" w16cid:durableId="1415785994">
    <w:abstractNumId w:val="11"/>
  </w:num>
  <w:num w:numId="18" w16cid:durableId="1251696783">
    <w:abstractNumId w:val="12"/>
  </w:num>
  <w:num w:numId="19" w16cid:durableId="1571573110">
    <w:abstractNumId w:val="11"/>
  </w:num>
  <w:num w:numId="20" w16cid:durableId="682973898">
    <w:abstractNumId w:val="12"/>
  </w:num>
  <w:num w:numId="21" w16cid:durableId="291137772">
    <w:abstractNumId w:val="11"/>
  </w:num>
  <w:num w:numId="22" w16cid:durableId="389118107">
    <w:abstractNumId w:val="12"/>
  </w:num>
  <w:num w:numId="23" w16cid:durableId="618797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0C5C1D"/>
    <w:rsid w:val="00161E7C"/>
    <w:rsid w:val="002206B7"/>
    <w:rsid w:val="00313569"/>
    <w:rsid w:val="00352BA1"/>
    <w:rsid w:val="003756FC"/>
    <w:rsid w:val="003D44B0"/>
    <w:rsid w:val="00435F1A"/>
    <w:rsid w:val="00472128"/>
    <w:rsid w:val="00506818"/>
    <w:rsid w:val="005A55BB"/>
    <w:rsid w:val="006373B0"/>
    <w:rsid w:val="00693388"/>
    <w:rsid w:val="006E6812"/>
    <w:rsid w:val="00871062"/>
    <w:rsid w:val="009E05DE"/>
    <w:rsid w:val="00A511C4"/>
    <w:rsid w:val="00AE3AC5"/>
    <w:rsid w:val="00BF4B6B"/>
    <w:rsid w:val="00CF1051"/>
    <w:rsid w:val="00E634E8"/>
    <w:rsid w:val="00E753DB"/>
    <w:rsid w:val="00EB1F7E"/>
    <w:rsid w:val="00F67D04"/>
    <w:rsid w:val="00FD6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6034"/>
  <w15:docId w15:val="{5C25B190-513B-4720-B653-1F80350F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image" Target="media/image1.png"/><Relationship Id="rId18" Type="http://schemas.openxmlformats.org/officeDocument/2006/relationships/hyperlink" Target="https://doi.org/10.1080/1524837070183659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16/j.infbeh.2016.12.002" TargetMode="External"/><Relationship Id="rId7" Type="http://schemas.openxmlformats.org/officeDocument/2006/relationships/hyperlink" Target="https://aspredicted.org/SJT_H7F" TargetMode="External"/><Relationship Id="rId12" Type="http://schemas.openxmlformats.org/officeDocument/2006/relationships/hyperlink" Target="https://aspredicted.org/DR4_B4B" TargetMode="External"/><Relationship Id="rId17" Type="http://schemas.openxmlformats.org/officeDocument/2006/relationships/hyperlink" Target="https://doi.org/10.1002/9781118963418.childpsy20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mc-sta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predicted.org/DR4_B4B"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2.xml"/><Relationship Id="rId10" Type="http://schemas.openxmlformats.org/officeDocument/2006/relationships/hyperlink" Target="https://aspredicted.org/L2H_XC7" TargetMode="External"/><Relationship Id="rId19" Type="http://schemas.openxmlformats.org/officeDocument/2006/relationships/hyperlink" Target="https://books.google.de/books?id=BXrHqqUYu0QC" TargetMode="External"/><Relationship Id="rId4" Type="http://schemas.openxmlformats.org/officeDocument/2006/relationships/webSettings" Target="webSettings.xml"/><Relationship Id="rId9" Type="http://schemas.openxmlformats.org/officeDocument/2006/relationships/hyperlink" Target="https://aspredicted.org/L2H_XC7" TargetMode="Externa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11032</Words>
  <Characters>69507</Characters>
  <Application>Microsoft Office Word</Application>
  <DocSecurity>0</DocSecurity>
  <Lines>579</Lines>
  <Paragraphs>160</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80379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5</cp:revision>
  <dcterms:created xsi:type="dcterms:W3CDTF">2025-11-15T14:18:00Z</dcterms:created>
  <dcterms:modified xsi:type="dcterms:W3CDTF">2025-11-15T14:25:00Z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C:\Users\Kachel.IPE-KACHEL-N\AppData\Local\R\win-library\4.4\papaja\rmd\apa6.csl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