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7B31" w14:textId="77777777" w:rsidR="008B066F" w:rsidRDefault="00000000">
      <w:pPr>
        <w:pStyle w:val="Titel"/>
      </w:pPr>
      <w:r>
        <w:t>Young Children’s Spontaneous Comprehension of Symbol-Referent Relationships in the Graphic Domain</w:t>
      </w:r>
    </w:p>
    <w:p w14:paraId="3C88B076" w14:textId="77777777" w:rsidR="008B066F" w:rsidRDefault="00000000">
      <w:pPr>
        <w:pStyle w:val="Author"/>
      </w:pPr>
      <w:r>
        <w:t>Gregor Kachel</w:t>
      </w:r>
      <w:r>
        <w:rPr>
          <w:vertAlign w:val="superscript"/>
        </w:rPr>
        <w:t>1</w:t>
      </w:r>
      <w:r>
        <w:t>, Daniel Haun</w:t>
      </w:r>
      <w:r>
        <w:rPr>
          <w:vertAlign w:val="superscript"/>
        </w:rPr>
        <w:t>2</w:t>
      </w:r>
      <w:r>
        <w:t>, &amp; Manuel Bohn</w:t>
      </w:r>
      <w:r>
        <w:rPr>
          <w:vertAlign w:val="superscript"/>
        </w:rPr>
        <w:t>1</w:t>
      </w:r>
    </w:p>
    <w:p w14:paraId="62E67868" w14:textId="77777777" w:rsidR="008B066F" w:rsidRDefault="00000000">
      <w:pPr>
        <w:pStyle w:val="Author"/>
      </w:pPr>
      <w:r>
        <w:rPr>
          <w:vertAlign w:val="superscript"/>
        </w:rPr>
        <w:t>1</w:t>
      </w:r>
      <w:r>
        <w:t xml:space="preserve"> Leuphana University</w:t>
      </w:r>
    </w:p>
    <w:p w14:paraId="3EA609F2" w14:textId="77777777" w:rsidR="008B066F" w:rsidRDefault="00000000">
      <w:pPr>
        <w:pStyle w:val="Author"/>
      </w:pPr>
      <w:r>
        <w:rPr>
          <w:vertAlign w:val="superscript"/>
        </w:rPr>
        <w:t>2</w:t>
      </w:r>
      <w:r>
        <w:t xml:space="preserve"> Max-Planck-Institute for Evolutionary Anthropology</w:t>
      </w:r>
    </w:p>
    <w:p w14:paraId="02D84C6E" w14:textId="77777777" w:rsidR="008B066F" w:rsidRDefault="00000000">
      <w:pPr>
        <w:pStyle w:val="Textkrper"/>
      </w:pPr>
      <w:r>
        <w:t>                                                                                                                                                    </w:t>
      </w:r>
    </w:p>
    <w:p w14:paraId="3EF8BE53" w14:textId="77777777" w:rsidR="008B066F" w:rsidRDefault="00000000">
      <w:pPr>
        <w:pStyle w:val="Textkrper"/>
      </w:pPr>
      <w:r>
        <w:t> </w:t>
      </w:r>
    </w:p>
    <w:p w14:paraId="67AA4FFE" w14:textId="77777777" w:rsidR="008B066F" w:rsidRDefault="00000000">
      <w:pPr>
        <w:pStyle w:val="authornote-title"/>
        <w:framePr w:wrap="notBeside"/>
      </w:pPr>
      <w:r>
        <w:lastRenderedPageBreak/>
        <w:t>Author note</w:t>
      </w:r>
    </w:p>
    <w:p w14:paraId="0BCBABF4" w14:textId="77777777" w:rsidR="008B066F" w:rsidRDefault="00000000">
      <w:pPr>
        <w:pStyle w:val="authornote"/>
        <w:framePr w:wrap="notBeside"/>
      </w:pPr>
      <w:r>
        <w:rPr>
          <w:i/>
          <w:iCs/>
        </w:rPr>
        <w:t>Ethics, consent and conflict of interest</w:t>
      </w:r>
      <w:r>
        <w:t>: The study obtained ethical clearance from the MPG Ethics Commission in Munich, Germany, falling under an umbrella ethics application (Appl. No. 2021_45). Informed consent has been obtained from all participants. The authors declare no conflict of interest.</w:t>
      </w:r>
    </w:p>
    <w:p w14:paraId="1F90599A" w14:textId="77777777" w:rsidR="008B066F" w:rsidRDefault="00000000">
      <w:pPr>
        <w:pStyle w:val="authornote"/>
        <w:framePr w:wrap="notBeside"/>
      </w:pPr>
      <w:r>
        <w:rPr>
          <w:i/>
          <w:iCs/>
        </w:rPr>
        <w:t>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 </w:t>
      </w:r>
      <w:hyperlink r:id="rId7">
        <w:r>
          <w:rPr>
            <w:rStyle w:val="Hyperlink"/>
          </w:rPr>
          <w:t>https://github.com/GregorKachel/symlit_rep_manuscript</w:t>
        </w:r>
      </w:hyperlink>
      <w:r>
        <w:t>.</w:t>
      </w:r>
    </w:p>
    <w:p w14:paraId="7FCA37FE" w14:textId="77777777" w:rsidR="008B066F" w:rsidRDefault="00000000">
      <w:pPr>
        <w:pStyle w:val="authornote"/>
        <w:framePr w:wrap="notBeside"/>
      </w:pPr>
      <w:r>
        <w:rPr>
          <w:i/>
          <w:iCs/>
        </w:rPr>
        <w:t>Acknowledgments</w:t>
      </w:r>
      <w:r>
        <w:t>: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14:paraId="0BD2FD51" w14:textId="77777777" w:rsidR="008B066F" w:rsidRDefault="00000000">
      <w:pPr>
        <w:pStyle w:val="authornote"/>
        <w:framePr w:wrap="notBeside"/>
      </w:pPr>
      <w:r>
        <w:t>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384CD196" w14:textId="77777777" w:rsidR="008B066F" w:rsidRDefault="00000000">
      <w:pPr>
        <w:pStyle w:val="authornote"/>
        <w:framePr w:wrap="notBeside"/>
      </w:pPr>
      <w:r>
        <w:t>Correspondence concerning this article should be addressed to Gregor Kachel, Universitätsallee 1, C1.008a, 21335 Lüneburg. E-mail: gregor.kachel@leuphana.de</w:t>
      </w:r>
    </w:p>
    <w:p w14:paraId="76113411" w14:textId="77777777" w:rsidR="008B066F" w:rsidRDefault="00000000">
      <w:pPr>
        <w:pStyle w:val="h1-pagebreak"/>
      </w:pPr>
      <w:r>
        <w:lastRenderedPageBreak/>
        <w:t>Abstract</w:t>
      </w:r>
    </w:p>
    <w:p w14:paraId="0D076272" w14:textId="77777777" w:rsidR="008B066F" w:rsidRDefault="00000000">
      <w:pPr>
        <w:pStyle w:val="Textkrper"/>
      </w:pPr>
      <w: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major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6F586309" w14:textId="77777777" w:rsidR="008B066F" w:rsidRDefault="00000000">
      <w:pPr>
        <w:pStyle w:val="Textkrper"/>
      </w:pPr>
      <w:r>
        <w:rPr>
          <w:i/>
          <w:iCs/>
        </w:rPr>
        <w:t>Keywords:</w:t>
      </w:r>
      <w:r>
        <w:t xml:space="preserve"> Graphic Communication, Pragmatics, Symbol-Referent-Relationships, Iconicity, Representation, Analogical Reasoning</w:t>
      </w:r>
    </w:p>
    <w:p w14:paraId="2CDC563E" w14:textId="77777777" w:rsidR="008B066F" w:rsidRDefault="00000000">
      <w:pPr>
        <w:pStyle w:val="Textkrper"/>
      </w:pPr>
      <w:r>
        <w:rPr>
          <w:i/>
          <w:iCs/>
        </w:rPr>
        <w:t>Word count:</w:t>
      </w:r>
      <w:r>
        <w:t xml:space="preserve"> 12.420</w:t>
      </w:r>
    </w:p>
    <w:p w14:paraId="1BE559AC" w14:textId="77777777" w:rsidR="008B066F" w:rsidRDefault="00000000">
      <w:pPr>
        <w:pStyle w:val="h1-pagebreak"/>
      </w:pPr>
      <w:r>
        <w:lastRenderedPageBreak/>
        <w:t>Young Children’s Spontaneous Comprehension of Symbol-Referent Relationships in the Graphic Domain</w:t>
      </w:r>
    </w:p>
    <w:p w14:paraId="48ADEA75" w14:textId="77777777" w:rsidR="008B066F" w:rsidRDefault="00000000">
      <w:pPr>
        <w:pStyle w:val="berschrift2"/>
      </w:pPr>
      <w:bookmarkStart w:id="0" w:name="lay-summary-max.-120-words"/>
      <w:r>
        <w:t>Lay Summary (max. 120 words)</w:t>
      </w:r>
    </w:p>
    <w:p w14:paraId="53087593" w14:textId="77777777" w:rsidR="008B066F" w:rsidRDefault="00000000" w:rsidP="005A2110">
      <w:pPr>
        <w:pStyle w:val="FirstParagraph"/>
        <w:jc w:val="both"/>
      </w:pPr>
      <w:r>
        <w:t>Young children are skilled at understanding spoken language and gestures, but much less is known about how they make sense of graphic communication. We explored how children aged 3 to 7 interpret unfamiliar graphic displays in a picture-book-style game of hide and seek where they had to choose the correct hiding place based on a drawn cue. Across three studies, we tested many kinds of symbol–object relationships, ranging from clear representations to abstract cues based on shape, size, number, orientation or spatial arrangement. Children followed representational drawings at three, but the understanding of more abstract symbols emerged around the fourth birthday. These findings show how children gradually learn to find meaning in increasingly complex visual symbols even prior to literacy.</w:t>
      </w:r>
    </w:p>
    <w:p w14:paraId="069377E6" w14:textId="77777777" w:rsidR="008B066F" w:rsidRDefault="00000000">
      <w:pPr>
        <w:pStyle w:val="berschrift1"/>
      </w:pPr>
      <w:bookmarkStart w:id="1" w:name="introduction"/>
      <w:bookmarkEnd w:id="0"/>
      <w:r>
        <w:t>Introduction</w:t>
      </w:r>
    </w:p>
    <w:p w14:paraId="626B70D1" w14:textId="77777777" w:rsidR="008B066F" w:rsidRDefault="00000000" w:rsidP="005A2110">
      <w:pPr>
        <w:pStyle w:val="FirstParagraph"/>
        <w:jc w:val="both"/>
      </w:pPr>
      <w:r>
        <w:t xml:space="preserve">The development of symbolic understanding - encompassing language, gesture, and symbolic artifacts -is a cornerstone of human enculturation and a hallmark of the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mechanisms underlying these shifts, researchers have examined how children from infancy through the preschool years negotiate various symbolic </w:t>
      </w:r>
      <w:r>
        <w:lastRenderedPageBreak/>
        <w:t>media, including gestures, words, photographs, representative drawings, maps, models, and sound symbolism (T. Callaghan &amp; Corbit, 2015).</w:t>
      </w:r>
    </w:p>
    <w:p w14:paraId="4ED3FFF4" w14:textId="77777777" w:rsidR="008B066F" w:rsidRDefault="00000000" w:rsidP="005A2110">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and reaching (Sodian &amp; Thoermer, 2004) or pointing (Behne, Liszkowski, Carpenter, &amp; Tomasello, 2012; Tomasello, Carpenter, &amp; Liszkowski, 2007) to more abstract or iconic referents such as arrows, markers, replicas (T. Callaghan, 2000; Leekam, Solomon, &amp; Teoh, 2010; Tomasello, Call, &amp; Gluckman, 1997), iconic gestures (Bohn, Call, &amp; Tomasello, 2019; Tomasello, Striano, &amp; Rochat, 1999), photographs (T. Callaghan, 2000), and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random event. Retrieval then necessitates a dual inference: mapping the symbol-referent relationship—whether via deixis, iconicity, or spatio-temporal contiguity—while simultaneously recognizing the cue’s pragmatic relevance to the immediate goal. Ultimately, the task demands both a structural match between cue and target and a functional grasp of the cue’s symbolic intent.</w:t>
      </w:r>
    </w:p>
    <w:p w14:paraId="360F2169" w14:textId="77777777" w:rsidR="008B066F" w:rsidRDefault="00000000" w:rsidP="005A2110">
      <w:pPr>
        <w:pStyle w:val="Textkrper"/>
        <w:jc w:val="both"/>
      </w:pPr>
      <w:r>
        <w:t xml:space="preserve">Although infants grasp naturally meaningful behaviors like pointing and gaze by the end of their first year, their ability to exploit less transparent symbolic artifacts emerges significantly </w:t>
      </w:r>
      <w:r>
        <w:lastRenderedPageBreak/>
        <w:t>later. The seminal work of DeLoache and colleagues has been instrumental in charting this progression, demonstrating that children’s capacity to use scale models, pictures, videos, and maps as informative tools undergoes a rapid transformation during the third year of life (DeLoache, 2004, 2011). A robust finding across this literature is the 30-to-36-month transition: while 30-month-olds typically fail to use a scale model to locate a hidden item, 36-month-olds excel, suggesting a newfound mastery of the “dual representation” required to see an artifact as both an object and a symbol (T. Callaghan &amp; Corbit, 2015; DeLoache, 2004). A parallel developmental trajectory is evident in the domain of graphic representation: functional use of graphic representations in choice tasks remains fragile until approximately age three. For instance, while children as young as 2.5 years may use shape to interpret drawings when intentionality is clear (Gelman &amp; Ebeling, 1998), Callaghan (1999) found that two-year-olds still struggle to select items based on representative drawings. This fragility is underscored by findings that 30-month-olds often fail to benefit from iconicity in either drawings or replicas, whereas 36-month-olds reliably succeed in object-choice-tasks across varying levels of stylization (T. Callaghan, 2000; DeLoache, 1995).</w:t>
      </w:r>
    </w:p>
    <w:p w14:paraId="7D8196F4" w14:textId="77777777" w:rsidR="008B066F" w:rsidRDefault="00000000" w:rsidP="005A2110">
      <w:pPr>
        <w:pStyle w:val="Textkrper"/>
        <w:jc w:val="both"/>
      </w:pPr>
      <w:r>
        <w:t xml:space="preserve">Hence, from 36 months onward, it may be productive to investigate whether children can comprehend symbol-referent-relationships that are less dependent on iconicity. Any symbol-referent-relationship that children can spontaneously use early may be of particular relevance for our understanding of emerging and graphical literacy and the development of graphic systems of communication. While iconicity provides an entry point for symbol-grounding in graphic communication (T. Callaghan, 2000) much like in the gestural domain (Bohn, Call, et al., 2019; T. Callaghan &amp; Corbit, 2015; Fay, Ellison, &amp; Garrod, 2014), it is generally also possible to establish reference via more abstract or conceptual symbol-referent relationships such as size, number, orientation, position or gestalt principles serving as fundamental principles for encoding </w:t>
      </w:r>
      <w:r>
        <w:lastRenderedPageBreak/>
        <w:t>information in the graphic domain (Cleveland &amp; McGill, 1984; Donnelly et al., 2007; Stevenson, Alberto, Boom, &amp; Boeck, 2014). Defining the precise ages and relative developmental trajectories for children’s sensitivity to using these graphic primitives as conveying meaning and for disambiguating reference in object-choice-tasks will provide crucial insights into children’s developing symbolic competence and the interplay of communicative and analogical capacities.</w:t>
      </w:r>
    </w:p>
    <w:p w14:paraId="6F88F85D" w14:textId="77777777" w:rsidR="008B066F" w:rsidRDefault="00000000" w:rsidP="005A2110">
      <w:pPr>
        <w:pStyle w:val="Textkrper"/>
        <w:jc w:val="both"/>
      </w:pPr>
      <w:r>
        <w:t>To explore the continuum from iconic or representational to more conceptual and abstract symbol-referent relationships in step-wise manner, it will be helpful to gradually reduce resemblance between cue and target. As an alternative to using varying levels of realism in designing communicative cues (T. Callaghan, 2000), it also possible to reduce cues such that they only present part of their respective target as often occurs naturally when streamlining communication and developing conventions (Goldin-Meadow &amp; Feldman, 1977). Part-whole relationships on the level of geometric figures could be an ideal target for an investigation into slightly abstract symbol-reference relationships as shape recognition and naming are robust in the third and fourth year (Verdine, Bunger, Athanasopoulou, Golinkoff, &amp; Hirsh-Pasek, 2017; Verdine, Lucca, Golinkoff, Hirsh-Pasek, &amp; Newcombe, 2016; Zambrzycka, Kotsopoulos, Lee, &amp; Makosz, 2017) and the ability to mentally complete canonical geometric shapes is already nascent in early infancy (Kellman &amp; Spelke, 1983; Valenza, Leo, Gava, &amp; Simion, 2006), yet there is currently no data on when children may be able to use pars pro toto cues in an object-choice context.</w:t>
      </w:r>
    </w:p>
    <w:p w14:paraId="74ACED03" w14:textId="77777777" w:rsidR="008B066F" w:rsidRDefault="00000000" w:rsidP="005A2110">
      <w:pPr>
        <w:pStyle w:val="Textkrper"/>
        <w:jc w:val="both"/>
      </w:pPr>
      <w:r>
        <w:t xml:space="preserve">Another way of reducing iconicity may be the metaphorical use of form, such as using sharp or spiky drawings to refer to “pointy” concepts (Knoeferle, Li, Maggioni, &amp; Spence, 2017). This phenomenon is central to research on sound symbolism within the lexicon (Bermúdez, 2020; Sidhu, 2025), as well as in studies of action and gesture (Bohn, Call, et al., 2019; Margiotoudi &amp; </w:t>
      </w:r>
      <w:r>
        <w:lastRenderedPageBreak/>
        <w:t>Pulvermüller, 2020). Robust across cultures (Ćwiek et al., 2022), this sensitivity emerges around 30 months for word-shape matching (Fort et al., 2018; Imai, Kita, Nagumo, &amp; Okada, 2008; Maurer, Pathman, &amp; Mondloch, 2006) and by 36 months for matching actions with vocalizations or gestures (Bohn, Call, et al., 2019). Despite these findings, it remains unknown whether children can utilize the global properties or “impressions” of a shape’s form to ground reference in the graphic domain alone.</w:t>
      </w:r>
    </w:p>
    <w:p w14:paraId="290D7537" w14:textId="77777777" w:rsidR="008B066F" w:rsidRDefault="00000000" w:rsidP="005A2110">
      <w:pPr>
        <w:pStyle w:val="Textkrper"/>
        <w:jc w:val="both"/>
      </w:pPr>
      <w:r>
        <w:t>To minimize iconicity in symbol-referent relationships, cues and targets may share global properties like orientation and alignment rather than specific shapes. Children demonstrate an early sensitivity to these compositional principles in their drawings, maintaining realistic spatial configurations (e.g. placing wheels beneath a car when drawing) and avoiding figure overlap (Cox, 2005; Luquet &amp; Costall, 2001; Piaget, Inhelder, &amp; Bovet, 1997). However, there is virtually no data on how likely children are to use Gestalt principles as a basis for forming symbol-referent relationships, except for the use of relative position the developing ability to read maps. While four-year-olds possess an intuitive grasp of relational directions (e.g., “behind” or “in front”) in basic maps (Landau, 1986), iconicity remains an important scaffold for their conceptual understanding (Liben &amp; Downs, 2013). Furthermore, although preschoolers can use geometric map information for local navigation (Shusterman, Ah Lee, &amp; Spelke, 2008), the ability to transfer these relational cues to large-scale spatial arrays does not stabilize until age six or seven (Blades &amp; Spencer, 1994; Uttal &amp; Wellman, 1989).</w:t>
      </w:r>
    </w:p>
    <w:p w14:paraId="045692D4" w14:textId="77777777" w:rsidR="008B066F" w:rsidRDefault="00000000" w:rsidP="005A2110">
      <w:pPr>
        <w:pStyle w:val="Textkrper"/>
        <w:jc w:val="both"/>
      </w:pPr>
      <w:r>
        <w:t xml:space="preserve">Finally, alignment between cue and target may also be based on analogies in size and number disregarding shape. Size is a relative property of graphical content and requires a comparison, for example when drawing a big and small object or conveying size by making an object occupy a large part of the frame of reference (Cox, 2005). Children are able to make </w:t>
      </w:r>
      <w:r>
        <w:lastRenderedPageBreak/>
        <w:t>spontaneous or productive size comparisons at three years of age and begin to use size words (</w:t>
      </w:r>
      <w:r>
        <w:rPr>
          <w:i/>
          <w:iCs/>
        </w:rPr>
        <w:t>big</w:t>
      </w:r>
      <w:r>
        <w:t>), size superlatives (</w:t>
      </w:r>
      <w:r>
        <w:rPr>
          <w:i/>
          <w:iCs/>
        </w:rPr>
        <w:t>biggest</w:t>
      </w:r>
      <w:r>
        <w:t>), or quantifiers (</w:t>
      </w:r>
      <w:r>
        <w:rPr>
          <w:i/>
          <w:iCs/>
        </w:rPr>
        <w:t>more</w:t>
      </w:r>
      <w:r>
        <w:t xml:space="preserve">, </w:t>
      </w:r>
      <w:r>
        <w:rPr>
          <w:i/>
          <w:iCs/>
        </w:rPr>
        <w:t>most</w:t>
      </w:r>
      <w:r>
        <w:t xml:space="preserve">) (Ferry et al., 2025), yet young children are most accurate with </w:t>
      </w:r>
      <w:r>
        <w:rPr>
          <w:i/>
          <w:iCs/>
        </w:rPr>
        <w:t>bigger</w:t>
      </w:r>
      <w:r>
        <w:t xml:space="preserve"> and only gradually gain competence with words like </w:t>
      </w:r>
      <w:r>
        <w:rPr>
          <w:i/>
          <w:iCs/>
        </w:rPr>
        <w:t>smaller</w:t>
      </w:r>
      <w:r>
        <w:t xml:space="preserve">, </w:t>
      </w:r>
      <w:r>
        <w:rPr>
          <w:i/>
          <w:iCs/>
        </w:rPr>
        <w:t>shorter</w:t>
      </w:r>
      <w:r>
        <w:t xml:space="preserve"> or </w:t>
      </w:r>
      <w:r>
        <w:rPr>
          <w:i/>
          <w:iCs/>
        </w:rPr>
        <w:t>longer</w:t>
      </w:r>
      <w:r>
        <w:t xml:space="preserve"> (Frausel et al., 2020). When presented with an array of graphic stimuli, preschoolers can reliably point at, for example, the smallest or largest item in a set (Haun &amp; Tomasello, 2011). One of the few studies using size as a way for grounding reference, investigated the role of the producers intentions in identifying concepts in ambiguous scribble drawings that were presented to participants as aiming to depict, for example, a small spider next to a big house. Children here made use of spatial analogies beginning at three years of age but appeared to benefit more as they turned four (Bloom &amp; Markson, 1998). Similarly, number is a relational primitive and a foundational element of graphic communication (Cooperrider &amp; Gentner, 2019; Ifrah, 2000). Sensitivity to number develops from an infant’s implicit grasp of proximate numerical differences (Carey, 2000; Starr, Libertus, &amp; Brannon, 2013; Xu &amp; Arriaga, 2007) to an explicit understanding of numerical systems (Carey &amp; Barner, 2019). Supported by early home environments (Daucourt, Napoli, Quinn, Wood, &amp; Hart, 2021) and preschool curricula (Kucharz, 2012; Schmidt, Sauerbrey, &amp; Smidt, 2021), children typically master the cardinality principle by age four (Carey &amp; Barner, 2019; Silver &amp; Libertus, 2022). This allows them to apply numerical knowledge in practical contexts, such as comparing magnitudes smaller than five (Eckert, Bohn, &amp; Spaethe, 2022; Wynn, 1990).</w:t>
      </w:r>
    </w:p>
    <w:p w14:paraId="084B8C50" w14:textId="77777777" w:rsidR="008B066F" w:rsidRDefault="00000000" w:rsidP="005A2110">
      <w:pPr>
        <w:pStyle w:val="Textkrper"/>
        <w:jc w:val="both"/>
      </w:pPr>
      <w:r>
        <w:t xml:space="preserve">While children appear generally sensitive to and able to make comparisons along the conceptual dimensions of shape, orientation, size and number, studies directly testing them as grounds for establishing reference are very rare. A highly valuable point of reference can be found in the literature on relational and non-relational match to sample tasks where studies often comprise various stimulus sets or conditions probing these matching dimensions. While shapes in </w:t>
      </w:r>
      <w:r>
        <w:lastRenderedPageBreak/>
        <w:t xml:space="preserve">match-to-sample (MTS) tasks poses little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w:t>
      </w:r>
    </w:p>
    <w:p w14:paraId="55527C81" w14:textId="77777777" w:rsidR="008B066F" w:rsidRDefault="00000000" w:rsidP="005A2110">
      <w:pPr>
        <w:pStyle w:val="Textkrper"/>
        <w:jc w:val="both"/>
      </w:pPr>
      <w:r>
        <w:t>A critical distinction exists between these paradigms and symbolic object-choice tasks. In MTS/RMTS, children are explicitly instructed to find matches as an end in itself. Conversely, the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and ecologically valid testing ground, revealing whether young children can deploy their nascent analogical reasoning skills within a practical, goal-directed interaction. In addition,</w:t>
      </w:r>
    </w:p>
    <w:p w14:paraId="587F377B" w14:textId="77777777" w:rsidR="008B066F" w:rsidRDefault="00000000" w:rsidP="005A2110">
      <w:pPr>
        <w:pStyle w:val="Textkrper"/>
        <w:jc w:val="both"/>
      </w:pPr>
      <w:r>
        <w:t xml:space="preserve">The prevailing literature’s heavy reliance on similarity and iconicity (T. Callaghan &amp; Corbit, 2015) leaves the broader scope of children’s symbolic flexibility largely unexplored. Because most studies employ depictions of real-world objects, results may be confounded by </w:t>
      </w:r>
      <w:r>
        <w:lastRenderedPageBreak/>
        <w:t>children’s familiarity with canonical features (Long, Moher, Carey, &amp; Konkle, 2019) or cultural graphic conventions. To address these research desiderata, the present work provides a systematic investigation into the diverse conceptual dimensions along which graphic symbols can be imbued with meaning and traces development continuously through the pre-school years employing the symbolic object-choice task as one coherent and simple paradigm. By utilizing novel abstract graphic displays as both cue and target, this study isolates children’s ability to identify conceptual features and apply pragmatic inferences in context, largely independent of prior knowledge of script, numerals, or conventional icons. Furthermore, by omitting training, instruction, or feedback, our approach ensures that responses reflect what children find naturally meaningful. Consequently, the studies below showcase young children’s capacity to spontaneously grasp novel symbol-referent pairings, providing critical insights into the learnability and potentially the emergence of communicative systems during a developmental period of increasing conventional symbolic mastery.</w:t>
      </w:r>
    </w:p>
    <w:p w14:paraId="238042A0" w14:textId="77777777" w:rsidR="008B066F" w:rsidRDefault="00000000">
      <w:pPr>
        <w:pStyle w:val="berschrift1"/>
      </w:pPr>
      <w:bookmarkStart w:id="2" w:name="general-methods"/>
      <w:bookmarkEnd w:id="1"/>
      <w:r>
        <w:t>General Methods</w:t>
      </w:r>
    </w:p>
    <w:p w14:paraId="0A88BEE8" w14:textId="77777777" w:rsidR="008B066F" w:rsidRDefault="00000000">
      <w:pPr>
        <w:pStyle w:val="FirstParagraph"/>
      </w:pPr>
      <w:r>
        <w:t>All studies presented below share methodological and analytic approaches. For the convenience of the reader, common features of the procedure, participant recruiting and stimulus design are reported first before discussing the three studies respectively. All studies were preregistered online prior to data collection (cf. </w:t>
      </w:r>
      <w:hyperlink r:id="rId8">
        <w:r>
          <w:rPr>
            <w:rStyle w:val="Hyperlink"/>
          </w:rPr>
          <w:t>Study 1</w:t>
        </w:r>
      </w:hyperlink>
      <w:r>
        <w:t xml:space="preserve">: </w:t>
      </w:r>
      <w:hyperlink r:id="rId9">
        <w:r>
          <w:rPr>
            <w:rStyle w:val="Hyperlink"/>
          </w:rPr>
          <w:t>https://aspredicted.org/SJT_H7F</w:t>
        </w:r>
      </w:hyperlink>
      <w:r>
        <w:t xml:space="preserve">, </w:t>
      </w:r>
      <w:hyperlink r:id="rId10">
        <w:r>
          <w:rPr>
            <w:rStyle w:val="Hyperlink"/>
          </w:rPr>
          <w:t>Study 2</w:t>
        </w:r>
      </w:hyperlink>
      <w:r>
        <w:t xml:space="preserve">: </w:t>
      </w:r>
      <w:hyperlink r:id="rId11">
        <w:r>
          <w:rPr>
            <w:rStyle w:val="Hyperlink"/>
          </w:rPr>
          <w:t>https://aspredicted.org/L2H_XC7</w:t>
        </w:r>
      </w:hyperlink>
      <w:r>
        <w:t xml:space="preserve">, and </w:t>
      </w:r>
      <w:hyperlink r:id="rId12">
        <w:r>
          <w:rPr>
            <w:rStyle w:val="Hyperlink"/>
          </w:rPr>
          <w:t>Study 3</w:t>
        </w:r>
      </w:hyperlink>
      <w:r>
        <w:t xml:space="preserve">: </w:t>
      </w:r>
      <w:hyperlink r:id="rId13">
        <w:r>
          <w:rPr>
            <w:rStyle w:val="Hyperlink"/>
          </w:rPr>
          <w:t>https://aspredicted.org/DR4_B4B</w:t>
        </w:r>
      </w:hyperlink>
      <w:r>
        <w:t xml:space="preserve">). All stimuli, experiments, data and analyses are available at: </w:t>
      </w:r>
      <w:hyperlink r:id="rId14">
        <w:r>
          <w:rPr>
            <w:rStyle w:val="Hyperlink"/>
          </w:rPr>
          <w:t>https://github.com/GregorKachel/symlit_rep_manuscript</w:t>
        </w:r>
      </w:hyperlink>
      <w:r>
        <w:t>.</w:t>
      </w:r>
    </w:p>
    <w:p w14:paraId="3B108866" w14:textId="77777777" w:rsidR="008B066F" w:rsidRDefault="00000000">
      <w:pPr>
        <w:pStyle w:val="berschrift2"/>
      </w:pPr>
      <w:bookmarkStart w:id="3" w:name="data-collection-and-setup"/>
      <w:r>
        <w:lastRenderedPageBreak/>
        <w:t>Data Collection and Setup</w:t>
      </w:r>
    </w:p>
    <w:p w14:paraId="044D7ACA" w14:textId="77777777" w:rsidR="008B066F" w:rsidRDefault="00000000">
      <w:pPr>
        <w:pStyle w:val="FirstParagraph"/>
      </w:pPr>
      <w:r>
        <w:t>In order to continuously trace the development of symbolic competences across the preschool years, for each study we aimed to test a minimum of two children per month of age between the third and the seventh birthday for a total of 96 participants balancing male and female participants. As children participated on the basis of availability and data were collected by several experimenter teams in parallel, the final samples slightly exceed this preregistered minimum sample size. The final sample approximates an equal distribution of male and female participants and aligns with conventions in the field in providing a minimum of 24 participants per study and year of age. For an overview of the distribution of all children included in the analyses across the age-range see supplement figure 1. Figure 2 from the supplements shows the age-distribution of all children that participated but were not submitted to analyses due to the exclusion criteria outlined below. All participants were recruited in Leipzig, a medium-sized European city, and came from a predominantly white population of middle to high income families. Children were largely tested in day- and after school-care, and occasionally in the lab or at home. Data collection took place from June 2022 to February 2023.</w:t>
      </w:r>
    </w:p>
    <w:p w14:paraId="2B6C40AB" w14:textId="77777777" w:rsidR="008B066F" w:rsidRDefault="00000000">
      <w:pPr>
        <w:pStyle w:val="berschrift2"/>
      </w:pPr>
      <w:bookmarkStart w:id="4" w:name="setup-and-procedure"/>
      <w:bookmarkEnd w:id="3"/>
      <w:r>
        <w:t>Setup and Procedure</w:t>
      </w:r>
    </w:p>
    <w:p w14:paraId="72F9BD2E" w14:textId="77777777" w:rsidR="008B066F" w:rsidRDefault="00000000">
      <w:pPr>
        <w:pStyle w:val="FirstParagraph"/>
      </w:pPr>
      <w:r>
        <w:t>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figure 1 A for an illustration of the setup.</w:t>
      </w:r>
    </w:p>
    <w:p w14:paraId="71DB7E7A" w14:textId="77777777" w:rsidR="008B066F" w:rsidRDefault="00000000">
      <w:pPr>
        <w:pStyle w:val="CaptionedFigure"/>
        <w:framePr w:wrap="notBeside"/>
      </w:pPr>
      <w:r>
        <w:rPr>
          <w:noProof/>
        </w:rPr>
        <w:lastRenderedPageBreak/>
        <w:drawing>
          <wp:inline distT="0" distB="0" distL="0" distR="0" wp14:anchorId="39BEAB41" wp14:editId="62BCC284">
            <wp:extent cx="5670550" cy="3752457"/>
            <wp:effectExtent l="0" t="0" r="0" b="0"/>
            <wp:docPr id="28"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9" name="Picture" descr="../illustrations/setup%20complete.png"/>
                    <pic:cNvPicPr>
                      <a:picLocks noChangeAspect="1" noChangeArrowheads="1"/>
                    </pic:cNvPicPr>
                  </pic:nvPicPr>
                  <pic:blipFill>
                    <a:blip r:embed="rId15"/>
                    <a:stretch>
                      <a:fillRect/>
                    </a:stretch>
                  </pic:blipFill>
                  <pic:spPr bwMode="auto">
                    <a:xfrm>
                      <a:off x="0" y="0"/>
                      <a:ext cx="5670550" cy="3752457"/>
                    </a:xfrm>
                    <a:prstGeom prst="rect">
                      <a:avLst/>
                    </a:prstGeom>
                    <a:noFill/>
                    <a:ln w="9525">
                      <a:noFill/>
                      <a:headEnd/>
                      <a:tailEnd/>
                    </a:ln>
                  </pic:spPr>
                </pic:pic>
              </a:graphicData>
            </a:graphic>
          </wp:inline>
        </w:drawing>
      </w:r>
    </w:p>
    <w:p w14:paraId="0C8FF666" w14:textId="77777777" w:rsidR="008B066F" w:rsidRDefault="00000000">
      <w:pPr>
        <w:pStyle w:val="ImageCaption"/>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09EC6613" w14:textId="77777777" w:rsidR="008B066F" w:rsidRDefault="00000000">
      <w:pPr>
        <w:pStyle w:val="Textkrper"/>
      </w:pPr>
      <w:r>
        <w:rPr>
          <w:i/>
          <w:iCs/>
        </w:rPr>
        <w:t>Familiarisation.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The experimental </w:t>
      </w:r>
      <w:r>
        <w:lastRenderedPageBreak/>
        <w:t>script provided feedback upon children’s choice (“yes, great job!”; “No, that’s not it. Let’s try again!”) during the familiarization (cf. figure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was not submitted to analysis.</w:t>
      </w:r>
    </w:p>
    <w:p w14:paraId="4D149129" w14:textId="77777777" w:rsidR="008B066F" w:rsidRDefault="00000000">
      <w:pPr>
        <w:pStyle w:val="Textkrper"/>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(cf. figure 1 E).</w:t>
      </w:r>
    </w:p>
    <w:p w14:paraId="2911BCD2" w14:textId="77777777" w:rsidR="008B066F" w:rsidRDefault="00000000">
      <w:pPr>
        <w:pStyle w:val="Textkrper"/>
      </w:pPr>
      <w:r>
        <w:t xml:space="preserve">A single trial lasted roughly 20 to 60 seconds, depending on how swiftly children chose. Each study presented four different experimental conditions with four trials each in a blocked order for a maximum of 16 test trials. Unique combinations of graphic displays were used on every trial. Test sessions lasted about 12 minutes in total. The order of conditions was counterbalanced across participants. Children occasionally wished to stop before completing all trials, resulting in minor deviations of the total number of trials per condition that were submitted to analysis. For an overview of the average number of trials participants received in each </w:t>
      </w:r>
      <w:r>
        <w:lastRenderedPageBreak/>
        <w:t>condition, see supplementary materials. In line with the preregistration, children had to complete a minimum of eight test trials to be included in analysis.</w:t>
      </w:r>
    </w:p>
    <w:p w14:paraId="28857F7C" w14:textId="77777777" w:rsidR="008B066F" w:rsidRDefault="00000000">
      <w:pPr>
        <w:pStyle w:val="berschrift2"/>
      </w:pPr>
      <w:bookmarkStart w:id="6" w:name="stimuli-and-counterbalancing"/>
      <w:bookmarkEnd w:id="4"/>
      <w:r>
        <w:t>Stimuli and Counterbalancing</w:t>
      </w:r>
    </w:p>
    <w:p w14:paraId="24787E8E" w14:textId="77777777" w:rsidR="008B066F" w:rsidRDefault="00000000">
      <w:pPr>
        <w:pStyle w:val="FirstParagraph"/>
      </w:pPr>
      <w:r>
        <w:t xml:space="preserve">The context in the studies presented below is provided by a game of hide and seek and the options are two hiding places that are distinct by means of the graphic displays they are marked with. The aim was to test at what age children become able to spontaneously match cue and target along various dimensions of symbol-referent relationships. For this, the graphic displays presented as choice options were designed to saliently differ in one relevant dimension and to be as similar as possible with regard to other features. The cue, on the other hand, was a reduced and less straight-lined graphic display akin to a hand drawing that had something in common with one of the choice options and was thereby referring to it. In test trials, one of the choice options serves as a target and the other as a distractor. For counterbalancing, a second cue was designed to refer to the other choice option, such that across participants the same choice options serve equally often as targets and distractors. For an illustration of trial composition, see figure 1 B and C. For each of the conditions in the three studies below, four sets of stimuli were designed, consisting of two blue shapes serving as target or distractor, and two drawings that could serve as cues. Each condition covers a particular type of symbol-referent relationship via four stimulus versions with two variations each. For an example, consider figure 2. The first box in Panel B shows all stimuli for the </w:t>
      </w:r>
      <w:r>
        <w:rPr>
          <w:i/>
          <w:iCs/>
        </w:rPr>
        <w:t>Representation</w:t>
      </w:r>
      <w:r>
        <w:t xml:space="preserve"> condition. The first column exemplifies a set of targets (a blue square and circle) and cues (outline drawings of a square and circle). During test, participants are presented with four test trials per condition, each composed of the shapes of a single column. During testing, a child sees each trial combination only once and with only one of the two possible cues. Across children, the position (left/right) of the target, and the identity of </w:t>
      </w:r>
      <w:r>
        <w:lastRenderedPageBreak/>
        <w:t>the cue are counterbalanced. For the convenience of the reader, all stimuli employed across studies are presented with the results for each condition in figures 2, 3, and 4 respectively.</w:t>
      </w:r>
    </w:p>
    <w:p w14:paraId="3D9BE481" w14:textId="77777777" w:rsidR="008B066F" w:rsidRDefault="00000000">
      <w:pPr>
        <w:pStyle w:val="berschrift2"/>
      </w:pPr>
      <w:bookmarkStart w:id="7" w:name="data-handling-and-analyses"/>
      <w:bookmarkEnd w:id="6"/>
      <w:r>
        <w:t>Data Handling and Analyses</w:t>
      </w:r>
    </w:p>
    <w:p w14:paraId="2099F751" w14:textId="77777777" w:rsidR="008B066F" w:rsidRDefault="00000000">
      <w:pPr>
        <w:pStyle w:val="FirstParagraph"/>
      </w:pPr>
      <w:r>
        <w:t xml:space="preserve">Upon touching the screen, children’s choices were logged and immediately coded as correct or incorrect by the code running the stimulus presentation. To evaluate how children’s ability to interpret cues varies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age as well as their interaction as primary predictors. In addition, we included a 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correct ~ condition*z.age + z.trial + sex + (z.trial | subid)</w:t>
      </w:r>
      <w:r>
        <w:t xml:space="preserve">. In line with best-practice conventions, we evaluated the relevance of age and condition for children’s performance prior to interpreting coefficients. For this, the full model outlined above was compared with a reduced model lacking the interaction of age and condition. To asses the fit and relative explanatory power of either model, we used Widely Applicable Information Criterion (WAIC) scores and weights (McElreath, 2018) as well as the difference in Expected Log Predictive Density (ELPD) via the function </w:t>
      </w:r>
      <w:r>
        <w:rPr>
          <w:i/>
          <w:iCs/>
        </w:rPr>
        <w:t>loo_compare</w:t>
      </w:r>
      <w:r>
        <w:t xml:space="preserve"> (Sivula, Magnusson, Matamoros, </w:t>
      </w:r>
      <w:r>
        <w:lastRenderedPageBreak/>
        <w:t xml:space="preserve">&amp; Vehtari, 2020). Across all studies, the preregistered full model proved superior or equally predictive. Model estimates were inspected for the different predictors including their 95% Credible Interval (CrI). In each study, the condition hypothesized as the most simple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4DB198B8" w14:textId="77777777" w:rsidR="008B066F" w:rsidRDefault="00000000">
      <w:pPr>
        <w:pStyle w:val="Textkrper"/>
      </w:pPr>
      <w:r>
        <w:t xml:space="preserve">In order to answer our main research question of when children systematically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w:t>
      </w:r>
      <w:r>
        <w:rPr>
          <w:b/>
          <w:bCs/>
        </w:rPr>
        <w:t>ref?</w:t>
      </w:r>
      <w:r>
        <w:t>)(fig:plot-study1), (</w:t>
      </w:r>
      <w:r>
        <w:rPr>
          <w:b/>
          <w:bCs/>
        </w:rPr>
        <w:t>ref?</w:t>
      </w:r>
      <w:r>
        <w:t>)(fig:plot-study3), (</w:t>
      </w:r>
      <w:r>
        <w:rPr>
          <w:b/>
          <w:bCs/>
        </w:rPr>
        <w:t>ref?</w:t>
      </w:r>
      <w:r>
        <w:t>)(fig:plot-study3)).</w:t>
      </w:r>
    </w:p>
    <w:p w14:paraId="313CB0D3" w14:textId="77777777" w:rsidR="008B066F" w:rsidRDefault="00000000">
      <w:pPr>
        <w:pStyle w:val="Textkrper"/>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+(z.trial|id) +(z.age|item)</w:t>
      </w:r>
      <w:r>
        <w:t xml:space="preserve">). For brevity, tables outlining the coefficients for the final models were moved to the supplementary materials along with the exploratory item-level analyses outlined above. The supplements also provide conventional analyses binning participants according to their age </w:t>
      </w:r>
      <w:r>
        <w:lastRenderedPageBreak/>
        <w:t xml:space="preserve">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00584A4D" w14:textId="77777777" w:rsidR="008B066F" w:rsidRDefault="00000000">
      <w:pPr>
        <w:pStyle w:val="berschrift1"/>
      </w:pPr>
      <w:bookmarkStart w:id="8" w:name="study-1"/>
      <w:bookmarkEnd w:id="2"/>
      <w:bookmarkEnd w:id="7"/>
      <w:r>
        <w:t>Study 1</w:t>
      </w:r>
    </w:p>
    <w:p w14:paraId="56270F90" w14:textId="77777777" w:rsidR="008B066F" w:rsidRDefault="00000000">
      <w:pPr>
        <w:pStyle w:val="FirstParagrap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From this, three further conditions were derived that were also employing form or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Complex Form Analogy</w:t>
      </w:r>
      <w:r>
        <w:t>.</w:t>
      </w:r>
    </w:p>
    <w:p w14:paraId="338CEBDE" w14:textId="77777777" w:rsidR="008B066F" w:rsidRDefault="00000000">
      <w:pPr>
        <w:pStyle w:val="berschrift2"/>
      </w:pPr>
      <w:bookmarkStart w:id="9" w:name="stimuli"/>
      <w:r>
        <w:t>Stimuli</w:t>
      </w:r>
    </w:p>
    <w:p w14:paraId="404182BC" w14:textId="77777777" w:rsidR="008B066F" w:rsidRDefault="00000000">
      <w:pPr>
        <w:pStyle w:val="FirstParagraph"/>
      </w:pPr>
      <w:r>
        <w:t xml:space="preserve">To make the four conditions in study 1 as comparable as possible, they are all employing the same target stimuli (cf. figure 2, panels A and B). In addition the two cues within a trial can be seen as the round and square equivalents of each other. For the condition </w:t>
      </w:r>
      <w:r>
        <w:rPr>
          <w:i/>
          <w:iCs/>
        </w:rPr>
        <w:t>Representation,</w:t>
      </w:r>
      <w:r>
        <w:t xml:space="preserve"> the graphical cue is an outline drawing, of the target. The second condition, </w:t>
      </w:r>
      <w:r>
        <w:rPr>
          <w:i/>
          <w:iCs/>
        </w:rPr>
        <w:t>Pars Pro Toto,</w:t>
      </w:r>
      <w:r>
        <w:t xml:space="preserve"> refers to the targets by means of a part-whole relationship. This is still in principle representational but provides less information and may require children to complete the shapes according to gestalt principles. While this completion is easiest in the first two items of </w:t>
      </w:r>
      <w:r>
        <w:rPr>
          <w:i/>
          <w:iCs/>
        </w:rPr>
        <w:t>Pars pro Toto</w:t>
      </w:r>
      <w:r>
        <w:t xml:space="preserve"> due to the canonical shapes (square, circle) it is less obvious with the less canonical shapes albeit they are </w:t>
      </w:r>
      <w:r>
        <w:lastRenderedPageBreak/>
        <w:t xml:space="preserve">vertically and horizontally symmetrical on purpose (cf. 2 B, box 2). For comparability, </w:t>
      </w:r>
      <w:r>
        <w:rPr>
          <w:i/>
          <w:iCs/>
        </w:rPr>
        <w:t>Pars Pro Toto</w:t>
      </w:r>
      <w:r>
        <w:t xml:space="preserve"> uses the same graphical cues as </w:t>
      </w:r>
      <w:r>
        <w:rPr>
          <w:i/>
          <w:iCs/>
        </w:rPr>
        <w:t>Representation</w:t>
      </w:r>
      <w:r>
        <w:t xml:space="preserve"> but cut in half at a horizontal mid-line. A Stimulus set of an individual trial either uses the top or bottom half, but both variations are counterbalanced across trials.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analogies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figure 2 B.</w:t>
      </w:r>
    </w:p>
    <w:p w14:paraId="2C412D08" w14:textId="77777777" w:rsidR="008B066F" w:rsidRDefault="00000000">
      <w:pPr>
        <w:pStyle w:val="berschrift2"/>
      </w:pPr>
      <w:bookmarkStart w:id="10" w:name="participants-and-sample"/>
      <w:bookmarkEnd w:id="9"/>
      <w:r>
        <w:t>Participants and Sample</w:t>
      </w:r>
    </w:p>
    <w:p w14:paraId="5B69515D" w14:textId="77777777" w:rsidR="008B066F" w:rsidRDefault="00000000">
      <w:pPr>
        <w:pStyle w:val="FirstParagraph"/>
      </w:pPr>
      <w:r>
        <w:t>A sample of 106 children (M = 59.18 months, SD = 13.58 months, range 36 - 83 months; 51 female) participated in Study 1. In addition, 22 children (11 female) were tested but excluded from analysis for not succeeding during familiarization (N = 13), for not completing at least eight out of 16 test trials (N = 1), or due to being fussy (N = 2). For 4 children, experimenters only learned during testing that they were not fluent enough in German to participate as their families had only recently migrated. Finally, 2 children had to be excluded due to technical issues. A total of 1688 trials (mean per condition = 422, range: 420 - 424) from 106 participants were submitted for analysis.</w:t>
      </w:r>
    </w:p>
    <w:p w14:paraId="7263453C" w14:textId="77777777" w:rsidR="008B066F" w:rsidRDefault="00000000">
      <w:pPr>
        <w:pStyle w:val="berschrift2"/>
      </w:pPr>
      <w:bookmarkStart w:id="11" w:name="results"/>
      <w:bookmarkEnd w:id="10"/>
      <w:r>
        <w:lastRenderedPageBreak/>
        <w:t>Results</w:t>
      </w:r>
    </w:p>
    <w:p w14:paraId="6563F094" w14:textId="77777777" w:rsidR="008B066F" w:rsidRDefault="00000000">
      <w:pPr>
        <w:pStyle w:val="FirstParagraph"/>
      </w:pPr>
      <w:r>
        <w:t>Posterior predictive checks (PPC) for both full and null model indicated excellent fit of observed data and model predictions. Rhat values in both models were equal to one, indicating convergence across all chains. Effective sample sizes for all fixed effects in the full model (Bulk ESS, mean = 6222, range 4323 - 10098) and the null model (Bulk ESS, mean = 5777, range 4351 - 8307) were &gt; 1000, indicating reliable posterior estimations.</w:t>
      </w:r>
    </w:p>
    <w:p w14:paraId="46113941" w14:textId="77777777" w:rsidR="008B066F" w:rsidRDefault="00000000">
      <w:pPr>
        <w:pStyle w:val="Textkrper"/>
      </w:pPr>
      <w:r>
        <w:t>Comparing the models using weights based on the Widely Applicable Information Criterion (WAIC) yielded 74.52% of the model weight for the full model, and 25.48% for the null model. Hence, the full model generally had a higher probability of making accurate predictions. Directly comparing the models’ WAIC via expected log predictive density (ELPD) corroborates this (ELPD WAIC; full model = -901.11; null model = -903.53). The standard error of the difference in predictive accuracy (SE = 3.14) is not much larger than the difference itself (ELPD diff = -2.42). Hence, evidence in favor of this model is not decisive. A similar comparison via Leave-One-Out Cross-Validation (LOO) provided essentially the same results. In absence of conclusive evidence for either model, we report the results for the full model in line with the preregistration.</w:t>
      </w:r>
    </w:p>
    <w:p w14:paraId="1DCE4423" w14:textId="77777777" w:rsidR="008B066F" w:rsidRDefault="00000000">
      <w:pPr>
        <w:pStyle w:val="Textkrper"/>
      </w:pPr>
      <w:r>
        <w:t xml:space="preserve">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w:t>
      </w:r>
      <w:r>
        <w:lastRenderedPageBreak/>
        <w:t>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study 1 and the respective ages of success, see figure 2.</w:t>
      </w:r>
    </w:p>
    <w:p w14:paraId="0D18BE2C" w14:textId="77777777" w:rsidR="008B066F" w:rsidRDefault="00000000">
      <w:pPr>
        <w:pStyle w:val="CaptionedFigure"/>
        <w:framePr w:wrap="notBeside"/>
      </w:pPr>
      <w:r>
        <w:rPr>
          <w:noProof/>
        </w:rPr>
        <w:drawing>
          <wp:inline distT="0" distB="0" distL="0" distR="0" wp14:anchorId="7E7F1CFD" wp14:editId="6D880A59">
            <wp:extent cx="5670550" cy="3498352"/>
            <wp:effectExtent l="0" t="0" r="0" b="0"/>
            <wp:docPr id="38" name="Picture"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39" name="Picture" descr="../illustrations/S1_complete.png"/>
                    <pic:cNvPicPr>
                      <a:picLocks noChangeAspect="1" noChangeArrowheads="1"/>
                    </pic:cNvPicPr>
                  </pic:nvPicPr>
                  <pic:blipFill>
                    <a:blip r:embed="rId16"/>
                    <a:stretch>
                      <a:fillRect/>
                    </a:stretch>
                  </pic:blipFill>
                  <pic:spPr bwMode="auto">
                    <a:xfrm>
                      <a:off x="0" y="0"/>
                      <a:ext cx="5670550" cy="3498352"/>
                    </a:xfrm>
                    <a:prstGeom prst="rect">
                      <a:avLst/>
                    </a:prstGeom>
                    <a:noFill/>
                    <a:ln w="9525">
                      <a:noFill/>
                      <a:headEnd/>
                      <a:tailEnd/>
                    </a:ln>
                  </pic:spPr>
                </pic:pic>
              </a:graphicData>
            </a:graphic>
          </wp:inline>
        </w:drawing>
      </w:r>
    </w:p>
    <w:p w14:paraId="09444E18" w14:textId="77777777" w:rsidR="008B066F" w:rsidRDefault="00000000">
      <w:pPr>
        <w:pStyle w:val="ImageCaption"/>
      </w:pPr>
      <w:bookmarkStart w:id="12" w:name="fig:plot-study1"/>
      <w:bookmarkEnd w:id="12"/>
      <w:r>
        <w:rPr>
          <w:i/>
          <w:iCs/>
        </w:rPr>
        <w:t>Figure</w:t>
      </w:r>
      <w:r>
        <w:t xml:space="preserve"> 2.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1C74935C" w14:textId="77777777" w:rsidR="008B066F" w:rsidRDefault="00000000">
      <w:pPr>
        <w:pStyle w:val="berschrift2"/>
      </w:pPr>
      <w:bookmarkStart w:id="13" w:name="discussion"/>
      <w:bookmarkEnd w:id="11"/>
      <w:r>
        <w:lastRenderedPageBreak/>
        <w:t>Discussion</w:t>
      </w:r>
    </w:p>
    <w:p w14:paraId="3F460371" w14:textId="77777777" w:rsidR="008B066F" w:rsidRDefault="00000000">
      <w:pPr>
        <w:pStyle w:val="FirstParagrap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(T. Callaghan, 1999, 2000; DeLoache &amp; Marzolf, 1992). This result establishes that the task design and setup are sufficiently clear even for the youngest children in the sample. Children succeed only at 38 months in </w:t>
      </w:r>
      <w:r>
        <w:rPr>
          <w:i/>
          <w:iCs/>
        </w:rPr>
        <w:t>Pars Pro Toto</w:t>
      </w:r>
      <w:r>
        <w:t xml:space="preserve">. The interaction with age shows that performance improves more quickly with age and that the area covered by the upper and lower CrI bounds shrinks considerably across the age range. In the more abstract conditions </w:t>
      </w:r>
      <w:r>
        <w:rPr>
          <w:i/>
          <w:iCs/>
        </w:rPr>
        <w:t>Simple Form Analogy</w:t>
      </w:r>
      <w:r>
        <w:t xml:space="preserve"> and </w:t>
      </w:r>
      <w:r>
        <w:rPr>
          <w:i/>
          <w:iCs/>
        </w:rPr>
        <w:t>Complex Form Analogy</w:t>
      </w:r>
      <w:r>
        <w:t xml:space="preserve">, preschoolers meet criterion at 47 and 50 months respectively. While both are still based in iconicity, in so far as their interpretation involves a sense of resemblance with regard to their shape (Winter, Woodin, &amp; Perlman, 2026), they are conceptually demanding at the same time. With regard to the influence of surface features, group level success occurs slightly earlier with the reduced cues employed in </w:t>
      </w:r>
      <w:r>
        <w:rPr>
          <w:i/>
          <w:iCs/>
        </w:rPr>
        <w:t>Simple Form Analogy</w:t>
      </w:r>
      <w:r>
        <w:t xml:space="preserve"> (Richland, Morrison, &amp; Holyoak, 2006). Finally, the results are perfectly in line with the hypothesized developmental 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7BFEE9C7" w14:textId="77777777" w:rsidR="008B066F" w:rsidRDefault="00000000">
      <w:pPr>
        <w:pStyle w:val="berschrift1"/>
      </w:pPr>
      <w:bookmarkStart w:id="14" w:name="study-2"/>
      <w:bookmarkEnd w:id="8"/>
      <w:bookmarkEnd w:id="13"/>
      <w:r>
        <w:t>Study 2</w:t>
      </w:r>
    </w:p>
    <w:p w14:paraId="7D5B6E6D" w14:textId="77777777" w:rsidR="008B066F" w:rsidRDefault="00000000">
      <w:pPr>
        <w:pStyle w:val="FirstParagraph"/>
      </w:pPr>
      <w:r>
        <w:t xml:space="preserve">The conditions in study 2 continue to abstract from a representational symbol-referent relationship by using different shapes for both cue and target stimuli. The conditions here, draw on gestalt-principles like figure-ground-relationship, continuity and parallelism. The symbol-referent-relationship in </w:t>
      </w:r>
      <w:r>
        <w:rPr>
          <w:i/>
          <w:iCs/>
        </w:rPr>
        <w:t>Absolute Position</w:t>
      </w:r>
      <w:r>
        <w:t xml:space="preserve"> is established by the respective cue and target sharing the same position with regard to the reference frame they occur in. In </w:t>
      </w:r>
      <w:r>
        <w:rPr>
          <w:i/>
          <w:iCs/>
        </w:rPr>
        <w:t>Relative Position</w:t>
      </w:r>
      <w:r>
        <w:t xml:space="preserve"> cue and </w:t>
      </w:r>
      <w:r>
        <w:lastRenderedPageBreak/>
        <w:t xml:space="preserve">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The preregistered hypothesis, assumed children to perform above chance first in </w:t>
      </w:r>
      <w:r>
        <w:rPr>
          <w:i/>
          <w:iCs/>
        </w:rPr>
        <w:t>Orientation of Object</w:t>
      </w:r>
      <w:r>
        <w:t xml:space="preserve">, then </w:t>
      </w:r>
      <w:r>
        <w:rPr>
          <w:i/>
          <w:iCs/>
        </w:rPr>
        <w:t>Orientation of Feature</w:t>
      </w:r>
      <w:r>
        <w:t xml:space="preserve">, </w:t>
      </w:r>
      <w:r>
        <w:rPr>
          <w:i/>
          <w:iCs/>
        </w:rPr>
        <w:t>Absolute Position</w:t>
      </w:r>
      <w:r>
        <w:t xml:space="preserve"> and finally </w:t>
      </w:r>
      <w:r>
        <w:rPr>
          <w:i/>
          <w:iCs/>
        </w:rPr>
        <w:t>Relative Position</w:t>
      </w:r>
      <w:r>
        <w:t>.</w:t>
      </w:r>
    </w:p>
    <w:p w14:paraId="37A8449C" w14:textId="77777777" w:rsidR="008B066F" w:rsidRDefault="00000000">
      <w:pPr>
        <w:pStyle w:val="berschrift2"/>
      </w:pPr>
      <w:bookmarkStart w:id="15" w:name="stimuli-1"/>
      <w:r>
        <w:t>Stimuli</w:t>
      </w:r>
    </w:p>
    <w:p w14:paraId="4D5CD5A2" w14:textId="77777777" w:rsidR="008B066F" w:rsidRDefault="00000000">
      <w:pPr>
        <w:pStyle w:val="FirstParagraph"/>
      </w:pPr>
      <w:r>
        <w:t xml:space="preserve">For comparability, </w:t>
      </w:r>
      <w:r>
        <w:rPr>
          <w:i/>
          <w:iCs/>
        </w:rPr>
        <w:t>Absolute Position</w:t>
      </w:r>
      <w:r>
        <w:t xml:space="preserve"> and </w:t>
      </w:r>
      <w:r>
        <w:rPr>
          <w:i/>
          <w:iCs/>
        </w:rPr>
        <w:t>Relative Position</w:t>
      </w:r>
      <w:r>
        <w:t xml:space="preserve"> employed the same distinct shapes as cue and target respectively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are closer together or further apart, as well as another two trials with target components being aligned on a horizontal or vertical axis. To ensure that cue and target are maximally distinct in all dimensions, cues and target items do not allign on the same axis. As in study 1, cues and targets are either round and rectangular shapes in these conditions. To convey a sense of direction in </w:t>
      </w:r>
      <w:r>
        <w:rPr>
          <w:i/>
          <w:iCs/>
        </w:rPr>
        <w:t>Orientation of Object,</w:t>
      </w:r>
      <w:r>
        <w:t xml:space="preserve"> cues and targets feature elongated shapes that are aligned either on a horizontal, vertical, or diagonal axis with rising or falling slope. The shapes are distinct oblong elipses and rectangles or abstract shapes with more or less round or square features. For </w:t>
      </w:r>
      <w:r>
        <w:rPr>
          <w:i/>
          <w:iCs/>
        </w:rPr>
        <w:t>Orientation of Feature</w:t>
      </w:r>
      <w:r>
        <w:t>, targets and cues are either circles or squares with a salient feature like an opening or a dent. For an overview of all stimuli used in Study 2, see figure 3.</w:t>
      </w:r>
    </w:p>
    <w:p w14:paraId="7D7C9432" w14:textId="77777777" w:rsidR="008B066F" w:rsidRDefault="00000000">
      <w:pPr>
        <w:pStyle w:val="berschrift2"/>
      </w:pPr>
      <w:bookmarkStart w:id="16" w:name="participants-and-sample-1"/>
      <w:bookmarkEnd w:id="15"/>
      <w:r>
        <w:lastRenderedPageBreak/>
        <w:t>Participants and Sample</w:t>
      </w:r>
    </w:p>
    <w:p w14:paraId="2F4E3508" w14:textId="77777777" w:rsidR="008B066F" w:rsidRDefault="00000000">
      <w:pPr>
        <w:pStyle w:val="FirstParagraph"/>
      </w:pPr>
      <w:r>
        <w:t>A total of 99 three- to seven-year-old children (M = 60.04 months, SD = 13.69 months, range 36 - 83 months; 49 female) participated. None of these children participated in study 1. In addition, a total of 13 children (6 female) were tested but excluded from analysis for failing familiarization (N = 9), being fussy (N = 1), not being fluent enough in German to follow the instructions (N = 1), or due to technical issues (N = 2). A total of 1561 trials (mean per condition = 390.25, range: 388 - 393) from 99 participants were submitted for analysis.</w:t>
      </w:r>
    </w:p>
    <w:p w14:paraId="665538EA" w14:textId="77777777" w:rsidR="008B066F" w:rsidRDefault="00000000">
      <w:pPr>
        <w:pStyle w:val="berschrift2"/>
      </w:pPr>
      <w:bookmarkStart w:id="17" w:name="results-1"/>
      <w:bookmarkEnd w:id="16"/>
      <w:r>
        <w:t>Results</w:t>
      </w:r>
    </w:p>
    <w:p w14:paraId="6E754E02" w14:textId="77777777" w:rsidR="008B066F" w:rsidRDefault="00000000">
      <w:pPr>
        <w:pStyle w:val="FirstParagraph"/>
      </w:pPr>
      <w:r>
        <w:t>For both full and null model, PPCs indicate excellent fit of observed data and model predictions. Rhat values in both models were equal to one, indicating convergence across all chains. Effective sample sizes for all fixed effects in the full model (Bulk ESS, mean = 6149, range 3485 - 7545) and the null model (Bulk ESS, mean = 6877, range 3839 - 10040) were &gt; 1000, indicating reliable posterior estimations.</w:t>
      </w:r>
    </w:p>
    <w:p w14:paraId="253E9D3C" w14:textId="77777777" w:rsidR="008B066F" w:rsidRDefault="00000000">
      <w:pPr>
        <w:pStyle w:val="Textkrper"/>
      </w:pPr>
      <w:r>
        <w:t>To compare model performance, we evaluated the WAIC estimates. The null model showed a slightly better predictive performance (ELPD = -888.15) compared to the full model (ELPD = -889.99). WAIC values also indicate better performance of the null model (WAIC = 1,776.30) over the full model (WAIC = 1,779.99). However, the difference between models (ELPD Diff = -1.84) falls within the bounds of uncertainty (SE = 1.76), suggesting no advantage in predictive accuracy. Hence, the preregistered analyses using the full model is reported below.</w:t>
      </w:r>
    </w:p>
    <w:p w14:paraId="6E22E009" w14:textId="77777777" w:rsidR="008B066F" w:rsidRDefault="00000000">
      <w:pPr>
        <w:pStyle w:val="Textkrper"/>
      </w:pPr>
      <w:r>
        <w:t>Across all conditions, performance improved with both age (</w:t>
      </w:r>
      <m:oMath>
        <m:r>
          <w:rPr>
            <w:rFonts w:ascii="Cambria Math" w:hAnsi="Cambria Math"/>
          </w:rPr>
          <m:t>β</m:t>
        </m:r>
      </m:oMath>
      <w:r>
        <w:t xml:space="preserve"> = 0.40, 95% CrI [0.14, 0.68]) and slightly with trial number (</w:t>
      </w:r>
      <m:oMath>
        <m:r>
          <w:rPr>
            <w:rFonts w:ascii="Cambria Math" w:hAnsi="Cambria Math"/>
          </w:rPr>
          <m:t>β</m:t>
        </m:r>
      </m:oMath>
      <w:r>
        <w:t xml:space="preserve"> = 0.26, 95% CrI [0.10, 0.43]). Relative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w:t>
      </w:r>
      <w:r>
        <w:lastRenderedPageBreak/>
        <w:t xml:space="preserve">CrI [-0.64, 0.08]). Performance in </w:t>
      </w:r>
      <w:r>
        <w:rPr>
          <w:i/>
          <w:iCs/>
        </w:rPr>
        <w:t>Orientation of Object</w:t>
      </w:r>
      <w:r>
        <w:t xml:space="preserve"> (</w:t>
      </w:r>
      <m:oMath>
        <m:r>
          <w:rPr>
            <w:rFonts w:ascii="Cambria Math" w:hAnsi="Cambria Math"/>
          </w:rPr>
          <m:t>β</m:t>
        </m:r>
      </m:oMath>
      <w:r>
        <w:t xml:space="preserve"> = -0.10, 95% CrI [-0.46, 0.27]) and </w:t>
      </w:r>
      <w:r>
        <w:rPr>
          <w:i/>
          <w:iCs/>
        </w:rPr>
        <w:t>Orientation of Feature</w:t>
      </w:r>
      <w:r>
        <w:t xml:space="preserve"> (</w:t>
      </w:r>
      <m:oMath>
        <m:r>
          <w:rPr>
            <w:rFonts w:ascii="Cambria Math" w:hAnsi="Cambria Math"/>
          </w:rPr>
          <m:t>β</m:t>
        </m:r>
      </m:oMath>
      <w:r>
        <w:t xml:space="preserve"> = -0.12, 95% CrI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the respective ages of group-level success, see figure 3.</w:t>
      </w:r>
    </w:p>
    <w:p w14:paraId="4AF99FEC" w14:textId="77777777" w:rsidR="008B066F" w:rsidRDefault="00000000">
      <w:pPr>
        <w:pStyle w:val="CaptionedFigure"/>
        <w:framePr w:wrap="notBeside"/>
      </w:pPr>
      <w:r>
        <w:rPr>
          <w:noProof/>
        </w:rPr>
        <w:drawing>
          <wp:inline distT="0" distB="0" distL="0" distR="0" wp14:anchorId="1701DCAA" wp14:editId="3D7B21A0">
            <wp:extent cx="5670550" cy="3498352"/>
            <wp:effectExtent l="0" t="0" r="0" b="0"/>
            <wp:docPr id="47" name="Picture"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illustrations/S2_complete.png"/>
                    <pic:cNvPicPr>
                      <a:picLocks noChangeAspect="1" noChangeArrowheads="1"/>
                    </pic:cNvPicPr>
                  </pic:nvPicPr>
                  <pic:blipFill>
                    <a:blip r:embed="rId17"/>
                    <a:stretch>
                      <a:fillRect/>
                    </a:stretch>
                  </pic:blipFill>
                  <pic:spPr bwMode="auto">
                    <a:xfrm>
                      <a:off x="0" y="0"/>
                      <a:ext cx="5670550" cy="3498352"/>
                    </a:xfrm>
                    <a:prstGeom prst="rect">
                      <a:avLst/>
                    </a:prstGeom>
                    <a:noFill/>
                    <a:ln w="9525">
                      <a:noFill/>
                      <a:headEnd/>
                      <a:tailEnd/>
                    </a:ln>
                  </pic:spPr>
                </pic:pic>
              </a:graphicData>
            </a:graphic>
          </wp:inline>
        </w:drawing>
      </w:r>
    </w:p>
    <w:p w14:paraId="6578F4E0" w14:textId="77777777" w:rsidR="008B066F" w:rsidRDefault="00000000">
      <w:pPr>
        <w:pStyle w:val="ImageCaption"/>
      </w:pPr>
      <w:bookmarkStart w:id="18" w:name="fig:plot-study2"/>
      <w:bookmarkEnd w:id="18"/>
      <w:r>
        <w:rPr>
          <w:i/>
          <w:iCs/>
        </w:rPr>
        <w:t>Figure</w:t>
      </w:r>
      <w:r>
        <w:t xml:space="preserve"> 3. </w:t>
      </w:r>
      <w:r>
        <w:rPr>
          <w:i/>
          <w:iCs/>
        </w:rPr>
        <w:t>Stimuli and Developmental Trajectories for Study 1.</w:t>
      </w:r>
      <w:r>
        <w:t xml:space="preserve">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p w14:paraId="6C5734E7" w14:textId="77777777" w:rsidR="008B066F" w:rsidRDefault="00000000">
      <w:pPr>
        <w:pStyle w:val="berschrift2"/>
      </w:pPr>
      <w:bookmarkStart w:id="19" w:name="discussion-1"/>
      <w:bookmarkEnd w:id="17"/>
      <w:r>
        <w:lastRenderedPageBreak/>
        <w:t>Discussion</w:t>
      </w:r>
    </w:p>
    <w:p w14:paraId="68956199" w14:textId="77777777" w:rsidR="008B066F" w:rsidRDefault="00000000">
      <w:pPr>
        <w:pStyle w:val="FirstParagraph"/>
      </w:pPr>
      <w:r>
        <w:t xml:space="preserve">Analyses established that children master the condition </w:t>
      </w:r>
      <w:r>
        <w:rPr>
          <w:i/>
          <w:iCs/>
        </w:rPr>
        <w:t>Absolute Position</w:t>
      </w:r>
      <w:r>
        <w:t xml:space="preserve"> at 45 months, making it the easiest task in study 2. Then in quick succession, children succeed in </w:t>
      </w:r>
      <w:r>
        <w:rPr>
          <w:i/>
          <w:iCs/>
        </w:rPr>
        <w:t>Orientation of Feature</w:t>
      </w:r>
      <w:r>
        <w:t xml:space="preserve"> at 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for children in graphic stimuli with a salient feature pointing out such as in </w:t>
      </w:r>
      <w:r>
        <w:rPr>
          <w:i/>
          <w:iCs/>
        </w:rPr>
        <w:t>Orientation of Feature</w:t>
      </w:r>
      <w:r>
        <w:t>, than an overall alignment in the horizontal, vertical or diagonal orientation.</w:t>
      </w:r>
    </w:p>
    <w:p w14:paraId="45CE2923" w14:textId="77777777" w:rsidR="008B066F" w:rsidRDefault="00000000">
      <w:pPr>
        <w:pStyle w:val="berschrift1"/>
      </w:pPr>
      <w:bookmarkStart w:id="20" w:name="study-3"/>
      <w:bookmarkEnd w:id="14"/>
      <w:bookmarkEnd w:id="19"/>
      <w:r>
        <w:t>Study 3</w:t>
      </w:r>
    </w:p>
    <w:p w14:paraId="110CF58A" w14:textId="77777777" w:rsidR="008B066F" w:rsidRDefault="00000000">
      <w:pPr>
        <w:pStyle w:val="FirstParagraph"/>
      </w:pPr>
      <w:r>
        <w:t xml:space="preserve">The final study features symbol-referent relationships that are based on analogies in size or number without cues and targets sharing similarities in other visual aspects, and while avoiding to draw on conventions in graphic communication. In order to correctly interpret the symbol-referent relationships employed here, children need to infer conceptual order in graphical displays. Such processes can be fostered or obstructed by surface level features of the stimuli at hand which makes it harder to assess whether the age at which children master a task - our primary aim of investigation - depends more on the ability to generally form symbol-referent relationships from analogies or from children’s developing ability to process visual complexity. The two base conditions of study three are </w:t>
      </w:r>
      <w:r>
        <w:rPr>
          <w:i/>
          <w:iCs/>
        </w:rPr>
        <w:t>Size of Object</w:t>
      </w:r>
      <w:r>
        <w:t xml:space="preserve"> and </w:t>
      </w:r>
      <w:r>
        <w:rPr>
          <w:i/>
          <w:iCs/>
        </w:rPr>
        <w:t>Size of Number.</w:t>
      </w:r>
      <w:r>
        <w:t xml:space="preserve"> Here the cues refer to a target shape as a whole via an analogy in size or number. They are complemented by the conditions </w:t>
      </w:r>
      <w:r>
        <w:rPr>
          <w:i/>
          <w:iCs/>
        </w:rPr>
        <w:t>Size of Feature</w:t>
      </w:r>
      <w:r>
        <w:t xml:space="preserve"> and </w:t>
      </w:r>
      <w:r>
        <w:rPr>
          <w:i/>
          <w:iCs/>
        </w:rPr>
        <w:t>Number of Feature</w:t>
      </w:r>
      <w:r>
        <w:t xml:space="preserve"> in which the cues refer to a salient aspect of </w:t>
      </w:r>
      <w:r>
        <w:lastRenderedPageBreak/>
        <w:t>the target stimuli. In these cases, extracting conceptual information is arguably more demanding. The overall performance across the ages as well as the relative offset in the age at which children solve a task based on symbol-referent relationships targeting objects or their features, can then serve to evaluate such surface-level effects across two different domains. Prior to data collection, we hypothesized that children will succeed earlier with symbol-referent relationships based in size than in number, and that children will succeed earlier when cues refer to a target object per se rather than a salient feature thereof.</w:t>
      </w:r>
    </w:p>
    <w:p w14:paraId="39347019" w14:textId="77777777" w:rsidR="008B066F" w:rsidRDefault="00000000">
      <w:pPr>
        <w:pStyle w:val="berschrift2"/>
      </w:pPr>
      <w:bookmarkStart w:id="21" w:name="stimuli-2"/>
      <w:r>
        <w:t>Stimuli</w:t>
      </w:r>
    </w:p>
    <w:p w14:paraId="2BBD3511" w14:textId="77777777" w:rsidR="008B066F" w:rsidRDefault="00000000">
      <w:pPr>
        <w:pStyle w:val="FirstParagraph"/>
      </w:pPr>
      <w:r>
        <w:t xml:space="preserve">In </w:t>
      </w:r>
      <w:r>
        <w:rPr>
          <w:i/>
          <w:iCs/>
        </w:rPr>
        <w:t>Size of Object</w:t>
      </w:r>
      <w:r>
        <w:t xml:space="preserve"> the targets in a each trial are identical shapes that are either small or large with regard to the reference frame they are presented in. To make cue and target shapes as distinct as possible they are again employing either squares or circles respectively or fully abstract shapes such as a random scribble or straight lines (cf. figure 4 B). For comparability, </w:t>
      </w:r>
      <w:r>
        <w:rPr>
          <w:i/>
          <w:iCs/>
        </w:rPr>
        <w:t>Size of Feature</w:t>
      </w:r>
      <w:r>
        <w:t xml:space="preserve"> employs the same cues as </w:t>
      </w:r>
      <w:r>
        <w:rPr>
          <w:i/>
          <w:iCs/>
        </w:rPr>
        <w:t>Size of Object</w:t>
      </w:r>
      <w:r>
        <w:t xml:space="preserve">, but features target shapes with either a relatively large or small void, opening, or protrusion. In </w:t>
      </w:r>
      <w:r>
        <w:rPr>
          <w:i/>
          <w:iCs/>
        </w:rPr>
        <w:t>Number of Object</w:t>
      </w:r>
      <w:r>
        <w:t xml:space="preserve">, cues and targets are composed of different shapes with some being simple line drawings. The displayed quantities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share visually similarity by forming a similar pattern, which is difficult as such small number arrays lend themselves to being grouped into canonical shapes by Gestalt principles such as proximity and closure. This issue was addressed by presenting the targets depicting the magnitudes three and four as if outlining irregular shapes. By contrast, the corresponding cues were aligned along a vertical of horizontal axis. For comparability, </w:t>
      </w:r>
      <w:r>
        <w:rPr>
          <w:i/>
          <w:iCs/>
        </w:rPr>
        <w:t>Number of Feature</w:t>
      </w:r>
      <w:r>
        <w:t xml:space="preserve"> employs </w:t>
      </w:r>
      <w:r>
        <w:lastRenderedPageBreak/>
        <w:t xml:space="preserve">the same cues as </w:t>
      </w:r>
      <w:r>
        <w:rPr>
          <w:i/>
          <w:iCs/>
        </w:rPr>
        <w:t>Number of Object</w:t>
      </w:r>
      <w:r>
        <w:t xml:space="preserve">. To evoke a sense of quantity in the closed forms serving as choice options, the target shapes in </w:t>
      </w:r>
      <w:r>
        <w:rPr>
          <w:i/>
          <w:iCs/>
        </w:rPr>
        <w:t>Number of Feature</w:t>
      </w:r>
      <w:r>
        <w:t xml:space="preserve"> either have salient protrusions, or partial areas resulting from incisions. For an overview of all stimuli presented in Study 3, see figure 4.</w:t>
      </w:r>
    </w:p>
    <w:p w14:paraId="14A999AE" w14:textId="77777777" w:rsidR="008B066F" w:rsidRDefault="00000000">
      <w:pPr>
        <w:pStyle w:val="berschrift2"/>
      </w:pPr>
      <w:bookmarkStart w:id="22" w:name="participants-and-sample-2"/>
      <w:bookmarkEnd w:id="21"/>
      <w:r>
        <w:t>Participants and Sample</w:t>
      </w:r>
    </w:p>
    <w:p w14:paraId="49796D25" w14:textId="77777777" w:rsidR="008B066F" w:rsidRDefault="00000000">
      <w:pPr>
        <w:pStyle w:val="FirstParagraph"/>
      </w:pPr>
      <w:r>
        <w:t>A total of 99 three- to seven-year-old children (M = 59.88 months, SD = 13.44 months, range 36 - 83 months; 55 female) participated. None of these had participated in the previous studies. In addition, 23 children (7 female) were tested but excluded for low performance during familiarization (N = 12), for not completing at least eight out of 16 test trials (N = 1), or being fussy (N = 3). Further exclusions were necessary due to language problems (N = 4) and technical issues (N = 3). For study three, 1559 trials (mean per condition = 389.75, range: 388 - 392) from 99 participants were submitted for analysis.</w:t>
      </w:r>
    </w:p>
    <w:p w14:paraId="525D027A" w14:textId="77777777" w:rsidR="008B066F" w:rsidRDefault="00000000">
      <w:pPr>
        <w:pStyle w:val="berschrift2"/>
      </w:pPr>
      <w:bookmarkStart w:id="23" w:name="results-2"/>
      <w:bookmarkEnd w:id="22"/>
      <w:r>
        <w:t>Results</w:t>
      </w:r>
    </w:p>
    <w:p w14:paraId="5534DA96" w14:textId="77777777" w:rsidR="008B066F" w:rsidRDefault="00000000">
      <w:pPr>
        <w:pStyle w:val="FirstParagraph"/>
      </w:pPr>
      <w:r>
        <w:t>PPCs indicated excellent fit of observed data and model predictions in both models. Model diagnostics were drawn for the full and null model in study 3. Rhat values in both models were equal to one, indicating convergence across all chains. Effective sample sizes for all fixed effects in the full model (Bulk ESS, mean = 6552, range 4556 - 8586) and the null model (Bulk ESS, mean = 7253, range 5531 - 8885) were &gt; 1000, indicating reliable posterior estimations.</w:t>
      </w:r>
    </w:p>
    <w:p w14:paraId="67B28548" w14:textId="77777777" w:rsidR="008B066F" w:rsidRDefault="00000000">
      <w:pPr>
        <w:pStyle w:val="Textkrper"/>
      </w:pPr>
      <w:r>
        <w:t xml:space="preserve">When comparing performance, the full model showed a better fit (ELPD = -941.75) relative to the null model (ELPD = -945.94). The WAIC values also favored the full model (WAIC = 1,883.49) over the null model (WAIC = 1,891.88). Despite the slightly lower WAIC and higher ELPD of the full model, the difference in predictive accuracy (ELPD Diff = -4.19) </w:t>
      </w:r>
      <w:r>
        <w:lastRenderedPageBreak/>
        <w:t>remains almost within the range of sampling uncertainty (SE = 3.97). In the absence of substantial differences, the full model is reported below in line with the preregistration.</w:t>
      </w:r>
    </w:p>
    <w:p w14:paraId="46AFFE5C" w14:textId="77777777" w:rsidR="008B066F" w:rsidRDefault="00000000">
      <w:pPr>
        <w:pStyle w:val="Textkrper"/>
      </w:pPr>
      <w:r>
        <w:t>Overall, children’s performance increased with age (</w:t>
      </w:r>
      <m:oMath>
        <m:r>
          <w:rPr>
            <w:rFonts w:ascii="Cambria Math" w:hAnsi="Cambria Math"/>
          </w:rPr>
          <m:t>β</m:t>
        </m:r>
      </m:oMath>
      <w:r>
        <w:t xml:space="preserve"> = 0.70, 95% CrI [0.44, 0.97]) and with trial number (</w:t>
      </w:r>
      <m:oMath>
        <m:r>
          <w:rPr>
            <w:rFonts w:ascii="Cambria Math" w:hAnsi="Cambria Math"/>
          </w:rPr>
          <m:t>β</m:t>
        </m:r>
      </m:oMath>
      <w:r>
        <w:t xml:space="preserve"> = 0.21, 95% CrI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(beta = -0.71, 95% CrI [-1.06, -0.36]). A smaller, marginal effect was observed in </w:t>
      </w:r>
      <w:r>
        <w:rPr>
          <w:i/>
          <w:iCs/>
        </w:rPr>
        <w:t>Number of Feature</w:t>
      </w:r>
      <w:r>
        <w:t xml:space="preserve"> (</w:t>
      </w:r>
      <m:oMath>
        <m:r>
          <w:rPr>
            <w:rFonts w:ascii="Cambria Math" w:hAnsi="Cambria Math"/>
          </w:rPr>
          <m:t>β</m:t>
        </m:r>
      </m:oMath>
      <w:r>
        <w:t xml:space="preserve"> = -0.31, 95% CrI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Generally, the conditions relying on feature-based reference are associated with lower overall performance and weaker developmental gains. The best overview of the relative performance across conditions and the corresponding age of success is provided by plotting the model estimates (cf. figure 4).</w:t>
      </w:r>
    </w:p>
    <w:p w14:paraId="68BDFC24" w14:textId="77777777" w:rsidR="008B066F" w:rsidRDefault="00000000">
      <w:pPr>
        <w:pStyle w:val="CaptionedFigure"/>
        <w:framePr w:wrap="notBeside"/>
      </w:pPr>
      <w:r>
        <w:rPr>
          <w:noProof/>
        </w:rPr>
        <w:lastRenderedPageBreak/>
        <w:drawing>
          <wp:inline distT="0" distB="0" distL="0" distR="0" wp14:anchorId="37C5D5FC" wp14:editId="3BAEFCBD">
            <wp:extent cx="5670550" cy="3498352"/>
            <wp:effectExtent l="0" t="0" r="0" b="0"/>
            <wp:docPr id="56" name="Picture"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wp:cNvGraphicFramePr/>
            <a:graphic xmlns:a="http://schemas.openxmlformats.org/drawingml/2006/main">
              <a:graphicData uri="http://schemas.openxmlformats.org/drawingml/2006/picture">
                <pic:pic xmlns:pic="http://schemas.openxmlformats.org/drawingml/2006/picture">
                  <pic:nvPicPr>
                    <pic:cNvPr id="57" name="Picture" descr="../illustrations/S3_complete.png"/>
                    <pic:cNvPicPr>
                      <a:picLocks noChangeAspect="1" noChangeArrowheads="1"/>
                    </pic:cNvPicPr>
                  </pic:nvPicPr>
                  <pic:blipFill>
                    <a:blip r:embed="rId18"/>
                    <a:stretch>
                      <a:fillRect/>
                    </a:stretch>
                  </pic:blipFill>
                  <pic:spPr bwMode="auto">
                    <a:xfrm>
                      <a:off x="0" y="0"/>
                      <a:ext cx="5670550" cy="3498352"/>
                    </a:xfrm>
                    <a:prstGeom prst="rect">
                      <a:avLst/>
                    </a:prstGeom>
                    <a:noFill/>
                    <a:ln w="9525">
                      <a:noFill/>
                      <a:headEnd/>
                      <a:tailEnd/>
                    </a:ln>
                  </pic:spPr>
                </pic:pic>
              </a:graphicData>
            </a:graphic>
          </wp:inline>
        </w:drawing>
      </w:r>
    </w:p>
    <w:p w14:paraId="5B7EE06C" w14:textId="77777777" w:rsidR="008B066F" w:rsidRDefault="00000000">
      <w:pPr>
        <w:pStyle w:val="ImageCaption"/>
      </w:pPr>
      <w:bookmarkStart w:id="24" w:name="fig:plot-study3"/>
      <w:bookmarkEnd w:id="24"/>
      <w:r>
        <w:rPr>
          <w:i/>
          <w:iCs/>
        </w:rPr>
        <w:t>Figure</w:t>
      </w:r>
      <w:r>
        <w:t xml:space="preserve"> 4. </w:t>
      </w:r>
      <w:r>
        <w:rPr>
          <w:i/>
          <w:iCs/>
        </w:rPr>
        <w:t>Developmental Trajectories for all Conditions in Study 3.</w:t>
      </w:r>
      <w:r>
        <w:t xml:space="preserve">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w:t>
      </w:r>
    </w:p>
    <w:p w14:paraId="2D7465EE" w14:textId="77777777" w:rsidR="008B066F" w:rsidRDefault="00000000">
      <w:pPr>
        <w:pStyle w:val="berschrift2"/>
      </w:pPr>
      <w:bookmarkStart w:id="25" w:name="discussion-2"/>
      <w:bookmarkEnd w:id="23"/>
      <w:r>
        <w:t>Discussion</w:t>
      </w:r>
    </w:p>
    <w:p w14:paraId="65771501" w14:textId="77777777" w:rsidR="008B066F" w:rsidRDefault="00000000">
      <w:pPr>
        <w:pStyle w:val="FirstParagraph"/>
      </w:pPr>
      <w:r>
        <w:t xml:space="preserve">Model estimates indicate group level success in </w:t>
      </w:r>
      <w:r>
        <w:rPr>
          <w:i/>
          <w:iCs/>
        </w:rPr>
        <w:t>Size of Object</w:t>
      </w:r>
      <w:r>
        <w:t xml:space="preserve"> at 49 months, </w:t>
      </w:r>
      <w:r>
        <w:rPr>
          <w:i/>
          <w:iCs/>
        </w:rPr>
        <w:t>Number of Object</w:t>
      </w:r>
      <w:r>
        <w:t xml:space="preserve"> at 50 months, and </w:t>
      </w:r>
      <w:r>
        <w:rPr>
          <w:i/>
          <w:iCs/>
        </w:rPr>
        <w:t>Number of Feature</w:t>
      </w:r>
      <w:r>
        <w:t xml:space="preserve"> at 50 months. The exception to this pattern is </w:t>
      </w:r>
      <w:r>
        <w:rPr>
          <w:i/>
          <w:iCs/>
        </w:rPr>
        <w:t>Size of Feature</w:t>
      </w:r>
      <w:r>
        <w:t xml:space="preserve"> where children master the task no sooner than 59 months of age. We hypothesized that children will succeed earlier with analogies in size than in number, and that children would succeed earlier when cues refer to the target objects per se rather than salient features thereof. We find limited support for the hypothesis that the feature conditions are generally more demanding. </w:t>
      </w:r>
      <w:r>
        <w:lastRenderedPageBreak/>
        <w:t xml:space="preserve">That children succeed a month earlier in </w:t>
      </w:r>
      <w:r>
        <w:rPr>
          <w:i/>
          <w:iCs/>
        </w:rPr>
        <w:t>Number of Object</w:t>
      </w:r>
      <w:r>
        <w:t xml:space="preserve"> than in </w:t>
      </w:r>
      <w:r>
        <w:rPr>
          <w:i/>
          <w:iCs/>
        </w:rPr>
        <w:t>Size of Object</w:t>
      </w:r>
      <w:r>
        <w:t xml:space="preserve"> as hypothesized is negligible especially in the context of the four-year age-range that is considered here. While </w:t>
      </w:r>
      <w:r>
        <w:rPr>
          <w:i/>
          <w:iCs/>
        </w:rPr>
        <w:t>Size of Object</w:t>
      </w:r>
      <w:r>
        <w:t xml:space="preserve"> demonstrates when children can grasp size analogies earlier, </w:t>
      </w:r>
      <w:r>
        <w:rPr>
          <w:i/>
          <w:iCs/>
        </w:rPr>
        <w:t>Size of Feature</w:t>
      </w:r>
      <w:r>
        <w:t xml:space="preserve"> stands out as the most difficult condition in this series of studies. Success hererequires shifting attention from general appearance to nested object features and this ability develops considerably throughout the preschool years (T. C. Callaghan, 1990; Diamond, Carlson, &amp; Beck, 2016; Shepp, Barrett, &amp; Kolbet, 1987).</w:t>
      </w:r>
    </w:p>
    <w:p w14:paraId="246DB463" w14:textId="77777777" w:rsidR="008B066F" w:rsidRDefault="00000000">
      <w:pPr>
        <w:pStyle w:val="berschrift1"/>
      </w:pPr>
      <w:bookmarkStart w:id="26" w:name="discussion-3"/>
      <w:bookmarkEnd w:id="20"/>
      <w:bookmarkEnd w:id="25"/>
      <w:r>
        <w:t>Discussion</w:t>
      </w:r>
    </w:p>
    <w:p w14:paraId="1FADF875" w14:textId="77777777" w:rsidR="008B066F" w:rsidRDefault="00000000">
      <w:pPr>
        <w:pStyle w:val="FirstParagraph"/>
      </w:pPr>
      <w:r>
        <w:t>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N = 106; Study 2, N = 99; Study 3, N = 99). We determined the month of age at which children as a group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While previous work on graphic communication has focused almost exclusively on iconicity as a way of creating meaning and compared performance across binned age-groups, the three studies presented here map development continuously using a highly simple and streamlined procedure across various conceptual dimensions.</w:t>
      </w:r>
    </w:p>
    <w:p w14:paraId="702166B6" w14:textId="77777777" w:rsidR="008B066F" w:rsidRDefault="00000000">
      <w:pPr>
        <w:pStyle w:val="Textkrper"/>
      </w:pPr>
      <w:r>
        <w:lastRenderedPageBreak/>
        <w:t>By design, the three studies provide a conservative test case of children’s ability to find meaning in the symbol-referent relationships presented. Participants are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interlocutors drawings my be read as novel symbolic cues referring to either choice option. To prevent learning or demand effects across trials, children did not receive feedback for their responses and were presented with a novel stimulus pairing in each trial.</w:t>
      </w:r>
    </w:p>
    <w:p w14:paraId="4C6E3586" w14:textId="77777777" w:rsidR="008B066F" w:rsidRDefault="00000000">
      <w:pPr>
        <w:pStyle w:val="Textkrper"/>
      </w:pPr>
      <w:r>
        <w:t xml:space="preserve">In Study 1, we found that in </w:t>
      </w:r>
      <w:r>
        <w:rPr>
          <w:i/>
          <w:iCs/>
        </w:rPr>
        <w:t>Representation</w:t>
      </w:r>
      <w:r>
        <w:t xml:space="preserve"> - with cues that are direct outline drawings of the items they refer to - children are robustly better than chance at the lower boundary of our age-window. A second condition, </w:t>
      </w:r>
      <w:r>
        <w:rPr>
          <w:i/>
          <w:iCs/>
        </w:rPr>
        <w:t>Pars Pro Toto</w:t>
      </w:r>
      <w:r>
        <w:t xml:space="preserve">, used the same stimuli as </w:t>
      </w:r>
      <w:r>
        <w:rPr>
          <w:i/>
          <w:iCs/>
        </w:rPr>
        <w:t>Representation</w:t>
      </w:r>
      <w:r>
        <w:t xml:space="preserve">, but the cues provided only half of the respective figures to guide children’s choices, which children can use at 38 months of age. This demonstrates that by three years of age, children’s symbolic competence is still fragile if additional steps such as the straightforward completion of a canonic shape is necessary for referential inference. Two further conditions aimed at abstracting from the cue while still retaining characteristic features of the target shapes with regard to an analogy in form, namely whether they were more round or edgy. </w:t>
      </w:r>
      <w:r>
        <w:rPr>
          <w:i/>
          <w:iCs/>
        </w:rPr>
        <w:t>Simple Form Analogy</w:t>
      </w:r>
      <w:r>
        <w:t xml:space="preserve"> and </w:t>
      </w:r>
      <w:r>
        <w:rPr>
          <w:i/>
          <w:iCs/>
        </w:rPr>
        <w:t>Complex Form Analogy</w:t>
      </w:r>
      <w:r>
        <w:t xml:space="preserve"> yield success at 50 months and 47 months. This is the first time a developmental setup features an abstract analogy in shape as a means of disambiguation in graphic communication. Taken together, study 1 provides a within-subjects comparison of young children’s ability to read representational, metonymical and metaphorical uses of form in graphic communication, showing that while iconicity marks the entry point for the comprehension of graphic cues, more abstract representations are only accessible by the fourth year.</w:t>
      </w:r>
    </w:p>
    <w:p w14:paraId="3B08349D" w14:textId="77777777" w:rsidR="008B066F" w:rsidRDefault="00000000">
      <w:pPr>
        <w:pStyle w:val="Textkrper"/>
      </w:pPr>
      <w:r>
        <w:lastRenderedPageBreak/>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44 months of age. In </w:t>
      </w:r>
      <w:r>
        <w:rPr>
          <w:i/>
          <w:iCs/>
        </w:rPr>
        <w:t>Relative Position</w:t>
      </w:r>
      <w:r>
        <w:t>, target and cue were composed of two figures each that were either closer together or further apart, or aligned on a vertical or horizontal axis. Here children perform above chance at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 Shao, Simms, Hespos, &amp; Gentner, 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44D74A32" w14:textId="77777777" w:rsidR="008B066F" w:rsidRDefault="00000000">
      <w:pPr>
        <w:pStyle w:val="Textkrper"/>
      </w:pPr>
      <w:r>
        <w:t xml:space="preserve">Study 3 set out to further reduce iconicity by drawing abstract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50 </w:t>
      </w:r>
      <w:r>
        <w:lastRenderedPageBreak/>
        <w:t xml:space="preserve">months. A different pattern emerges for the two conditions featuring size relationships. Children succeed at 49 months of age in </w:t>
      </w:r>
      <w:r>
        <w:rPr>
          <w:i/>
          <w:iCs/>
        </w:rPr>
        <w:t>Size of Object</w:t>
      </w:r>
      <w:r>
        <w:t xml:space="preserve">, but ten months later in </w:t>
      </w:r>
      <w:r>
        <w:rPr>
          <w:i/>
          <w:iCs/>
        </w:rPr>
        <w:t>Size of Feature</w:t>
      </w:r>
      <w:r>
        <w:t>.</w:t>
      </w:r>
    </w:p>
    <w:p w14:paraId="12462DDE" w14:textId="77777777" w:rsidR="008B066F" w:rsidRDefault="00000000">
      <w:pPr>
        <w:pStyle w:val="Textkrper"/>
      </w:pPr>
      <w:r>
        <w:t xml:space="preserve">A set of major findings emerges from the studies presented here. First, our results robustly confirm that symbol-referent relationships are easiest for children when they are based in iconicity and become gradually more difficult as visual similarity decreases (Ganea, Pickard, &amp; DeLoache, 2008) as access to conceptual information appears to develop later in the preschool years (T. Callaghan, 2000).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in graphic design may be. 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Wilson, &amp; Phillips,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at 50 months of age, children are generally able to identify various types of analogies spontaneously in unfamiliar symbolic displays. Previous findings have challenged assumptions of domain specificity in </w:t>
      </w:r>
      <w:r>
        <w:lastRenderedPageBreak/>
        <w:t>symbol development modalities such as graphic, gestural or verbal communication and rather highlighted the flexibility of symbolic and pragmatic abilities (T. Callaghan, 1999). Our findings champion a similar perspective with regard to various conceptual or basic graphic dimensions and underline the flexibility of symbolic cognition across various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almost at the same point in time, which is highly indicative of a major shift in pragmatic and analogical reasoning skills in the fourth year that drive children’s ability for solving communicative coordination problems.</w:t>
      </w:r>
    </w:p>
    <w:p w14:paraId="295A5EFD" w14:textId="77777777" w:rsidR="008B066F" w:rsidRDefault="00000000">
      <w:pPr>
        <w:pStyle w:val="Textkrper"/>
      </w:pPr>
      <w:r>
        <w:t xml:space="preserve">To the extent that the studies presented above highlight the fourth birthday as a milestone in symbolic development, this connects to a rich literature on major developmental shifts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(T. C. Callaghan, Rochat, &amp; Corbit, 2012), as well as insight into communicative intent (T. Callaghan &amp; Rochat, 2008), and major shifts in perspective-taking abilities (Flavell, Everett, Croft, &amp; Flavell, 1981). All of which are necessary or conducive for the flexible and spontaneous interpretation of graphic displays as well as inference-based or pragmatically challenging communicative behavior broadly construed. </w:t>
      </w:r>
      <w:r>
        <w:lastRenderedPageBreak/>
        <w:t>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 Tessler, Kordt, Hausmann, &amp; Frank, 2023; Thibaut, French, &amp; Vezneva, 2010). Focusing on various aspects of the stimulus-combinations, working memory (Richland et al., 2006; Simms, Frausel, &amp; Richland, 2018) is crucial for keeping track of features children have explored. To succeed they are furthermore required to suppress irrelevant aspects of the stimuli and inhibit distracting impulses solving relatively abstract tasks (Carlson &amp; Wang, 2007; Jablonski, 2014). Finally, cognitive flexibility is not only key for viewing the same stimulus from different conceptual angles but also specifically for switching modes of interpretation across conditions (Cuevas et al., 2014; Willoughby, Wirth, &amp; Blair, 2012).</w:t>
      </w:r>
    </w:p>
    <w:p w14:paraId="0AFAD260" w14:textId="77777777" w:rsidR="008B066F" w:rsidRDefault="00000000">
      <w:pPr>
        <w:pStyle w:val="Textkrper"/>
      </w:pPr>
      <w:r>
        <w:t>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judgements across a wide variety of basic conceptual and visual features.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w:t>
      </w:r>
    </w:p>
    <w:p w14:paraId="536564C5" w14:textId="77777777" w:rsidR="008B066F" w:rsidRDefault="00000000">
      <w:pPr>
        <w:pStyle w:val="Textkrper"/>
      </w:pPr>
      <w:r>
        <w:lastRenderedPageBreak/>
        <w:t>The research described here has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 general problem is that the project aims to establish robust developmental trajectories but does so only in a single, industrialized population (Henrich, Heine, &amp; Norenzayan, 2010). Future work needs to address the role of enculturation and specifically the influence of permanent exposure to symbolic and pictorial illustrations, writing and numbers or depictions featuring canonical shapes - ideally doing so both by investigating children in various cultural settings, as well as less industrialized communities (T. C. Callaghan et al., 2012; Dehaene, Izard, Pica, &amp; Spelke,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T. Callaghan, 1999; Nölle, Fusaroli, Mills, &amp; Tylén, 2020; Raviv &amp; Arnon, 2018). The results here demonstrates that at least by the age of four, they would be apt receivers of symbolic creations whose reference is based on iconicity, metonymy, alignment, orientation, as well as analogies in form, size and</w:t>
      </w:r>
    </w:p>
    <w:p w14:paraId="73D7C6BC" w14:textId="77777777" w:rsidR="008B066F" w:rsidRDefault="00000000">
      <w:pPr>
        <w:pStyle w:val="Textkrper"/>
      </w:pPr>
      <w:r>
        <w:lastRenderedPageBreak/>
        <w:t>Taken together, our work provides one of the most comprehensive, robust and systematic investigations of young children’s ability to find meaning in unfamiliar graphic symbols and may provide a benchmark data set for the development of preschoolers symbolic competence. Its straightforward streamlined design, conceptual breadth, robust sample, and open but fine-grained statistical approach offer a reliable foundation for precisely the future work outlined here and already address an important caveat in our understanding of children’s growing aptitude in graphic communication: the conceptual space spanning from iconic to abstract graphical representation.</w:t>
      </w:r>
    </w:p>
    <w:p w14:paraId="37F00D16" w14:textId="77777777" w:rsidR="008B066F" w:rsidRDefault="00000000">
      <w:r>
        <w:br w:type="page"/>
      </w:r>
    </w:p>
    <w:p w14:paraId="0F32E953" w14:textId="77777777" w:rsidR="008B066F" w:rsidRDefault="00000000">
      <w:pPr>
        <w:pStyle w:val="berschrift1"/>
      </w:pPr>
      <w:bookmarkStart w:id="27" w:name="references"/>
      <w:bookmarkEnd w:id="26"/>
      <w:r>
        <w:lastRenderedPageBreak/>
        <w:t>References</w:t>
      </w:r>
    </w:p>
    <w:p w14:paraId="2F2DD0F2" w14:textId="77777777" w:rsidR="008B066F"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p>
    <w:p w14:paraId="0BB5ABCF" w14:textId="77777777" w:rsidR="008B066F" w:rsidRDefault="00000000">
      <w:pPr>
        <w:pStyle w:val="Literaturverzeichnis"/>
      </w:pPr>
      <w:bookmarkStart w:id="30" w:name="ref-bermudez2020sound"/>
      <w:bookmarkEnd w:id="28"/>
      <w:r>
        <w:t xml:space="preserve">Bermúdez, N. (2020). Sound symbolism. </w:t>
      </w:r>
      <w:r>
        <w:rPr>
          <w:i/>
          <w:iCs/>
        </w:rPr>
        <w:t>The International Encyclopedia of Linguistic Anthropology</w:t>
      </w:r>
      <w:r>
        <w:t>, 1–3.</w:t>
      </w:r>
    </w:p>
    <w:p w14:paraId="538CDA26" w14:textId="77777777" w:rsidR="008B066F" w:rsidRDefault="00000000">
      <w:pPr>
        <w:pStyle w:val="Literaturverzeichnis"/>
      </w:pPr>
      <w:bookmarkStart w:id="31" w:name="ref-blades1994development"/>
      <w:bookmarkEnd w:id="30"/>
      <w:r>
        <w:t xml:space="preserve">Blades, M., &amp; Spencer, C. (1994). The development of children’s ability to use spatial representations. </w:t>
      </w:r>
      <w:r>
        <w:rPr>
          <w:i/>
          <w:iCs/>
        </w:rPr>
        <w:t>Advances in Child Development and Behavior</w:t>
      </w:r>
      <w:r>
        <w:t xml:space="preserve">, </w:t>
      </w:r>
      <w:r>
        <w:rPr>
          <w:i/>
          <w:iCs/>
        </w:rPr>
        <w:t>25</w:t>
      </w:r>
      <w:r>
        <w:t>, 157–199.</w:t>
      </w:r>
    </w:p>
    <w:p w14:paraId="5D99B540" w14:textId="77777777" w:rsidR="008B066F" w:rsidRDefault="00000000">
      <w:pPr>
        <w:pStyle w:val="Literaturverzeichnis"/>
      </w:pPr>
      <w:bookmarkStart w:id="32" w:name="ref-bloom1998intention"/>
      <w:bookmarkEnd w:id="31"/>
      <w:r>
        <w:t xml:space="preserve">Bloom, P., &amp; Markson, L. (1998). Intention and analogy in children’s naming of pictorial representations. </w:t>
      </w:r>
      <w:r>
        <w:rPr>
          <w:i/>
          <w:iCs/>
        </w:rPr>
        <w:t>Psychological Science</w:t>
      </w:r>
      <w:r>
        <w:t xml:space="preserve">, </w:t>
      </w:r>
      <w:r>
        <w:rPr>
          <w:i/>
          <w:iCs/>
        </w:rPr>
        <w:t>9</w:t>
      </w:r>
      <w:r>
        <w:t>(3), 200–204.</w:t>
      </w:r>
    </w:p>
    <w:p w14:paraId="6CCB4318" w14:textId="77777777" w:rsidR="008B066F" w:rsidRDefault="00000000">
      <w:pPr>
        <w:pStyle w:val="Literaturverzeichnis"/>
      </w:pPr>
      <w:bookmarkStart w:id="33" w:name="ref-bohn2019natural"/>
      <w:bookmarkEnd w:id="32"/>
      <w:r>
        <w:t xml:space="preserve">Bohn, M., Call, J., &amp; Tomasello, M. (2019). Natural reference: A phylo-and ontogenetic perspective on the comprehension of iconic gestures and vocalizations. </w:t>
      </w:r>
      <w:r>
        <w:rPr>
          <w:i/>
          <w:iCs/>
        </w:rPr>
        <w:t>Developmental Science</w:t>
      </w:r>
      <w:r>
        <w:t xml:space="preserve">, </w:t>
      </w:r>
      <w:r>
        <w:rPr>
          <w:i/>
          <w:iCs/>
        </w:rPr>
        <w:t>22</w:t>
      </w:r>
      <w:r>
        <w:t>(2), e12757.</w:t>
      </w:r>
    </w:p>
    <w:p w14:paraId="4CD9F0AB" w14:textId="77777777" w:rsidR="008B066F" w:rsidRDefault="00000000">
      <w:pPr>
        <w:pStyle w:val="Literaturverzeichnis"/>
      </w:pPr>
      <w:bookmarkStart w:id="34" w:name="ref-bohn2019young"/>
      <w:bookmarkEnd w:id="33"/>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p>
    <w:p w14:paraId="5FF2C130" w14:textId="77777777" w:rsidR="008B066F" w:rsidRDefault="00000000">
      <w:pPr>
        <w:pStyle w:val="Literaturverzeichnis"/>
      </w:pPr>
      <w:bookmarkStart w:id="35" w:name="ref-bohn2023individual"/>
      <w:bookmarkEnd w:id="34"/>
      <w:r>
        <w:t xml:space="preserve">Bohn, M., Tessler, M. H., Kordt, C., Hausmann, T., &amp; Frank, M. C. (2023). An individual differences perspective on pragmatic abilities in the preschool years. </w:t>
      </w:r>
      <w:r>
        <w:rPr>
          <w:i/>
          <w:iCs/>
        </w:rPr>
        <w:t>Developmental Science</w:t>
      </w:r>
      <w:r>
        <w:t xml:space="preserve">, </w:t>
      </w:r>
      <w:r>
        <w:rPr>
          <w:i/>
          <w:iCs/>
        </w:rPr>
        <w:t>26</w:t>
      </w:r>
      <w:r>
        <w:t>(6), e13401.</w:t>
      </w:r>
    </w:p>
    <w:p w14:paraId="7EEA2BF2" w14:textId="77777777" w:rsidR="008B066F" w:rsidRDefault="00000000">
      <w:pPr>
        <w:pStyle w:val="Literaturverzeichnis"/>
      </w:pPr>
      <w:bookmarkStart w:id="36" w:name="ref-Bruner1996culture"/>
      <w:bookmarkEnd w:id="35"/>
      <w:r>
        <w:t xml:space="preserve">Bruner, J. S. (1996). </w:t>
      </w:r>
      <w:r>
        <w:rPr>
          <w:i/>
          <w:iCs/>
        </w:rPr>
        <w:t>The culture of education</w:t>
      </w:r>
      <w:r>
        <w:t>. Harvard University Press.</w:t>
      </w:r>
    </w:p>
    <w:p w14:paraId="78A4D720" w14:textId="77777777" w:rsidR="008B066F" w:rsidRDefault="00000000">
      <w:pPr>
        <w:pStyle w:val="Literaturverzeichnis"/>
      </w:pPr>
      <w:bookmarkStart w:id="37" w:name="ref-burkner2017brms"/>
      <w:bookmarkEnd w:id="36"/>
      <w:r>
        <w:lastRenderedPageBreak/>
        <w:t xml:space="preserve">Bürkner, P.-C. (2017). Brms: An r package for bayesian multilevel models using stan. </w:t>
      </w:r>
      <w:r>
        <w:rPr>
          <w:i/>
          <w:iCs/>
        </w:rPr>
        <w:t>Journal of Statistical Software</w:t>
      </w:r>
      <w:r>
        <w:t xml:space="preserve">, </w:t>
      </w:r>
      <w:r>
        <w:rPr>
          <w:i/>
          <w:iCs/>
        </w:rPr>
        <w:t>80</w:t>
      </w:r>
      <w:r>
        <w:t>, 1–28.</w:t>
      </w:r>
    </w:p>
    <w:p w14:paraId="66DDDC56" w14:textId="77777777" w:rsidR="008B066F" w:rsidRDefault="00000000">
      <w:pPr>
        <w:pStyle w:val="Literaturverzeichnis"/>
      </w:pPr>
      <w:bookmarkStart w:id="38" w:name="ref-callaghan1999early"/>
      <w:bookmarkEnd w:id="37"/>
      <w:r>
        <w:t xml:space="preserve">Callaghan, T. (1999). Early understanding and production of graphic symbols. </w:t>
      </w:r>
      <w:r>
        <w:rPr>
          <w:i/>
          <w:iCs/>
        </w:rPr>
        <w:t>Child Development</w:t>
      </w:r>
      <w:r>
        <w:t xml:space="preserve">, </w:t>
      </w:r>
      <w:r>
        <w:rPr>
          <w:i/>
          <w:iCs/>
        </w:rPr>
        <w:t>70</w:t>
      </w:r>
      <w:r>
        <w:t>(6), 1314–1324.</w:t>
      </w:r>
    </w:p>
    <w:p w14:paraId="685AB6DE" w14:textId="77777777" w:rsidR="008B066F" w:rsidRDefault="00000000">
      <w:pPr>
        <w:pStyle w:val="Literaturverzeichnis"/>
      </w:pPr>
      <w:bookmarkStart w:id="39" w:name="ref-callaghan2000factors"/>
      <w:bookmarkEnd w:id="38"/>
      <w:r>
        <w:t xml:space="preserve">Callaghan, T. (2000). Factors affecting children’s graphic symbol use in the third year: Language, similarity, and iconicity. </w:t>
      </w:r>
      <w:r>
        <w:rPr>
          <w:i/>
          <w:iCs/>
        </w:rPr>
        <w:t>Cognitive Development</w:t>
      </w:r>
      <w:r>
        <w:t xml:space="preserve">, </w:t>
      </w:r>
      <w:r>
        <w:rPr>
          <w:i/>
          <w:iCs/>
        </w:rPr>
        <w:t>15</w:t>
      </w:r>
      <w:r>
        <w:t>(2), 185–214.</w:t>
      </w:r>
    </w:p>
    <w:p w14:paraId="7B264480" w14:textId="77777777" w:rsidR="008B066F" w:rsidRDefault="00000000">
      <w:pPr>
        <w:pStyle w:val="Literaturverzeichnis"/>
      </w:pPr>
      <w:bookmarkStart w:id="40" w:name="ref-callaghan1990texture"/>
      <w:bookmarkEnd w:id="39"/>
      <w:r>
        <w:t xml:space="preserve">Callaghan, T. C. (1990). Texture segregation in young children. In </w:t>
      </w:r>
      <w:r>
        <w:rPr>
          <w:i/>
          <w:iCs/>
        </w:rPr>
        <w:t>Advances in psychology</w:t>
      </w:r>
      <w:r>
        <w:t xml:space="preserve"> (Vol. 69, pp. 175–195). Elsevier.</w:t>
      </w:r>
    </w:p>
    <w:p w14:paraId="061EEB3F" w14:textId="77777777" w:rsidR="008B066F" w:rsidRDefault="00000000">
      <w:pPr>
        <w:pStyle w:val="Literaturverzeichnis"/>
      </w:pPr>
      <w:bookmarkStart w:id="41" w:name="ref-callaghan2012young"/>
      <w:bookmarkEnd w:id="40"/>
      <w:r>
        <w:t xml:space="preserve">Callaghan, T. C., Rochat, P., &amp; Corbit, J. (2012). Young children’s knowledge of the representational function of pictorial symbols: Development across the preschool years in three cultures. </w:t>
      </w:r>
      <w:r>
        <w:rPr>
          <w:i/>
          <w:iCs/>
        </w:rPr>
        <w:t>Journal of Cognition and Development</w:t>
      </w:r>
      <w:r>
        <w:t xml:space="preserve">, </w:t>
      </w:r>
      <w:r>
        <w:rPr>
          <w:i/>
          <w:iCs/>
        </w:rPr>
        <w:t>13</w:t>
      </w:r>
      <w:r>
        <w:t>(3), 320–353.</w:t>
      </w:r>
    </w:p>
    <w:p w14:paraId="6B339664" w14:textId="77777777" w:rsidR="008B066F" w:rsidRDefault="00000000">
      <w:pPr>
        <w:pStyle w:val="Literaturverzeichnis"/>
      </w:pPr>
      <w:bookmarkStart w:id="42" w:name="ref-callaghan2015development"/>
      <w:bookmarkEnd w:id="41"/>
      <w:r>
        <w:t xml:space="preserve">Callaghan, T., &amp; Corbit, J. (2015). The development of symbolic representation. In R. M. Lerner (Ed.), </w:t>
      </w:r>
      <w:r>
        <w:rPr>
          <w:i/>
          <w:iCs/>
        </w:rPr>
        <w:t>Handbook of child psychology and developmental science</w:t>
      </w:r>
      <w:r>
        <w:t xml:space="preserve">. Wiley. </w:t>
      </w:r>
      <w:hyperlink r:id="rId19">
        <w:r>
          <w:rPr>
            <w:rStyle w:val="Hyperlink"/>
          </w:rPr>
          <w:t>https://doi.org/10.1002/9781118963418.childpsy207</w:t>
        </w:r>
      </w:hyperlink>
    </w:p>
    <w:p w14:paraId="351D779C" w14:textId="77777777" w:rsidR="008B066F" w:rsidRDefault="00000000">
      <w:pPr>
        <w:pStyle w:val="Literaturverzeichnis"/>
      </w:pPr>
      <w:bookmarkStart w:id="43" w:name="ref-callaghan2008children"/>
      <w:bookmarkEnd w:id="42"/>
      <w:r>
        <w:t xml:space="preserve">Callaghan, T., &amp; Rochat, P. (2008). Children’s understanding of artist-picture relations: Implications for their theories of pictures. In C. Milbrath &amp; H. M. Trautner (Eds.), </w:t>
      </w:r>
      <w:r>
        <w:rPr>
          <w:i/>
          <w:iCs/>
        </w:rPr>
        <w:t>Children’s understanding and production of pictures, drawings, and art: Theoretical and empirical approaches</w:t>
      </w:r>
      <w:r>
        <w:t xml:space="preserve"> (pp. 187–205). Hogrefe &amp; Huber Publishers.</w:t>
      </w:r>
    </w:p>
    <w:p w14:paraId="46826A1F" w14:textId="77777777" w:rsidR="008B066F" w:rsidRDefault="00000000">
      <w:pPr>
        <w:pStyle w:val="Literaturverzeichnis"/>
      </w:pPr>
      <w:bookmarkStart w:id="44" w:name="ref-carey2000origin"/>
      <w:bookmarkEnd w:id="43"/>
      <w:r>
        <w:t xml:space="preserve">Carey, S. (2000). The origin of concepts. </w:t>
      </w:r>
      <w:r>
        <w:rPr>
          <w:i/>
          <w:iCs/>
        </w:rPr>
        <w:t>Journal of Cognition and Development</w:t>
      </w:r>
      <w:r>
        <w:t xml:space="preserve">, </w:t>
      </w:r>
      <w:r>
        <w:rPr>
          <w:i/>
          <w:iCs/>
        </w:rPr>
        <w:t>1</w:t>
      </w:r>
      <w:r>
        <w:t>(1), 37–41.</w:t>
      </w:r>
    </w:p>
    <w:p w14:paraId="142E07EC" w14:textId="77777777" w:rsidR="008B066F" w:rsidRDefault="00000000">
      <w:pPr>
        <w:pStyle w:val="Literaturverzeichnis"/>
      </w:pPr>
      <w:bookmarkStart w:id="45" w:name="ref-carey2019ontogenetic"/>
      <w:bookmarkEnd w:id="44"/>
      <w:r>
        <w:t xml:space="preserve">Carey, S., &amp; Barner, D. (2019). Ontogenetic origins of human integer representations. </w:t>
      </w:r>
      <w:r>
        <w:rPr>
          <w:i/>
          <w:iCs/>
        </w:rPr>
        <w:t>Trends in Cognitive Sciences</w:t>
      </w:r>
      <w:r>
        <w:t xml:space="preserve">, </w:t>
      </w:r>
      <w:r>
        <w:rPr>
          <w:i/>
          <w:iCs/>
        </w:rPr>
        <w:t>23</w:t>
      </w:r>
      <w:r>
        <w:t>(10), 823–835.</w:t>
      </w:r>
    </w:p>
    <w:p w14:paraId="44F2A859" w14:textId="77777777" w:rsidR="008B066F" w:rsidRDefault="00000000">
      <w:pPr>
        <w:pStyle w:val="Literaturverzeichnis"/>
      </w:pPr>
      <w:bookmarkStart w:id="46" w:name="ref-carlson2007inhibitory"/>
      <w:bookmarkEnd w:id="45"/>
      <w:r>
        <w:lastRenderedPageBreak/>
        <w:t xml:space="preserve">Carlson, S. M., &amp; Wang, T. S. (2007). Inhibitory control and emotion regulation in preschool children. </w:t>
      </w:r>
      <w:r>
        <w:rPr>
          <w:i/>
          <w:iCs/>
        </w:rPr>
        <w:t>Cognitive Development</w:t>
      </w:r>
      <w:r>
        <w:t xml:space="preserve">, </w:t>
      </w:r>
      <w:r>
        <w:rPr>
          <w:i/>
          <w:iCs/>
        </w:rPr>
        <w:t>22</w:t>
      </w:r>
      <w:r>
        <w:t>(4), 489–510.</w:t>
      </w:r>
    </w:p>
    <w:p w14:paraId="2C314057" w14:textId="77777777" w:rsidR="008B066F" w:rsidRDefault="00000000">
      <w:pPr>
        <w:pStyle w:val="Literaturverzeichnis"/>
      </w:pPr>
      <w:bookmarkStart w:id="47" w:name="ref-christie2014language"/>
      <w:bookmarkEnd w:id="46"/>
      <w:r>
        <w:t xml:space="preserve">Christie, S., &amp; Gentner, D. (2014). Language helps children succeed on a classic analogy task. </w:t>
      </w:r>
      <w:r>
        <w:rPr>
          <w:i/>
          <w:iCs/>
        </w:rPr>
        <w:t>Cognitive Science</w:t>
      </w:r>
      <w:r>
        <w:t xml:space="preserve">, </w:t>
      </w:r>
      <w:r>
        <w:rPr>
          <w:i/>
          <w:iCs/>
        </w:rPr>
        <w:t>38</w:t>
      </w:r>
      <w:r>
        <w:t>(2), 383–397.</w:t>
      </w:r>
    </w:p>
    <w:p w14:paraId="787E138E" w14:textId="77777777" w:rsidR="008B066F" w:rsidRDefault="00000000">
      <w:pPr>
        <w:pStyle w:val="Literaturverzeichnis"/>
      </w:pPr>
      <w:bookmarkStart w:id="48" w:name="ref-cleveland1984graphical"/>
      <w:bookmarkEnd w:id="47"/>
      <w:r>
        <w:t xml:space="preserve">Cleveland, W. S., &amp; McGill, R. (1984). Graphical perception: Theory, experimentation, and application to the development of graphical methods. </w:t>
      </w:r>
      <w:r>
        <w:rPr>
          <w:i/>
          <w:iCs/>
        </w:rPr>
        <w:t>Journal of the American Statistical Association</w:t>
      </w:r>
      <w:r>
        <w:t xml:space="preserve">, </w:t>
      </w:r>
      <w:r>
        <w:rPr>
          <w:i/>
          <w:iCs/>
        </w:rPr>
        <w:t>79</w:t>
      </w:r>
      <w:r>
        <w:t>(387), 531–554.</w:t>
      </w:r>
    </w:p>
    <w:p w14:paraId="17C13981" w14:textId="77777777" w:rsidR="008B066F" w:rsidRDefault="00000000">
      <w:pPr>
        <w:pStyle w:val="Literaturverzeichnis"/>
      </w:pPr>
      <w:bookmarkStart w:id="49" w:name="ref-cooperrider2019career"/>
      <w:bookmarkEnd w:id="48"/>
      <w:r>
        <w:t xml:space="preserve">Cooperrider, K., &amp; Gentner, D. (2019). The career of measurement. </w:t>
      </w:r>
      <w:r>
        <w:rPr>
          <w:i/>
          <w:iCs/>
        </w:rPr>
        <w:t>Cognition</w:t>
      </w:r>
      <w:r>
        <w:t xml:space="preserve">, </w:t>
      </w:r>
      <w:r>
        <w:rPr>
          <w:i/>
          <w:iCs/>
        </w:rPr>
        <w:t>191</w:t>
      </w:r>
      <w:r>
        <w:t>, 103942.</w:t>
      </w:r>
    </w:p>
    <w:p w14:paraId="6AC7DAB5" w14:textId="77777777" w:rsidR="008B066F" w:rsidRDefault="00000000">
      <w:pPr>
        <w:pStyle w:val="Literaturverzeichnis"/>
      </w:pPr>
      <w:bookmarkStart w:id="50" w:name="ref-cox2005pictorial"/>
      <w:bookmarkEnd w:id="49"/>
      <w:r>
        <w:t xml:space="preserve">Cox, M. (2005). </w:t>
      </w:r>
      <w:r>
        <w:rPr>
          <w:i/>
          <w:iCs/>
        </w:rPr>
        <w:t>The pictorial world of the child</w:t>
      </w:r>
      <w:r>
        <w:t>. Cambridge University Press.</w:t>
      </w:r>
    </w:p>
    <w:p w14:paraId="101E5196" w14:textId="77777777" w:rsidR="008B066F" w:rsidRDefault="00000000">
      <w:pPr>
        <w:pStyle w:val="Literaturverzeichnis"/>
      </w:pPr>
      <w:bookmarkStart w:id="51" w:name="ref-cuevas2014longitudinal"/>
      <w:bookmarkEnd w:id="50"/>
      <w:r>
        <w:t xml:space="preserve">Cuevas, K., Deater-Deckard, K., Kim-Spoon, J., Wang, Z., Morasch, K. C., &amp; Bell, M. A. (2014). A longitudinal intergenerational analysis of executive functions during early childhood. </w:t>
      </w:r>
      <w:r>
        <w:rPr>
          <w:i/>
          <w:iCs/>
        </w:rPr>
        <w:t>British Journal of Developmental Psychology</w:t>
      </w:r>
      <w:r>
        <w:t xml:space="preserve">, </w:t>
      </w:r>
      <w:r>
        <w:rPr>
          <w:i/>
          <w:iCs/>
        </w:rPr>
        <w:t>32</w:t>
      </w:r>
      <w:r>
        <w:t>(1), 50–64.</w:t>
      </w:r>
    </w:p>
    <w:p w14:paraId="762C9678" w14:textId="77777777" w:rsidR="008B066F" w:rsidRDefault="00000000">
      <w:pPr>
        <w:pStyle w:val="Literaturverzeichnis"/>
      </w:pPr>
      <w:bookmarkStart w:id="52" w:name="ref-cwiek2022bouba"/>
      <w:bookmarkEnd w:id="51"/>
      <w:r>
        <w:t xml:space="preserve">Ćwiek, A., Fuchs, S., Draxler, C., Asu, E. L., Dediu, D., Hiovain, K., et al.others. (2022). The bouba/kiki effect is robust across cultures and writing systems. </w:t>
      </w:r>
      <w:r>
        <w:rPr>
          <w:i/>
          <w:iCs/>
        </w:rPr>
        <w:t>Philosophical Transactions of the Royal Society B</w:t>
      </w:r>
      <w:r>
        <w:t xml:space="preserve">, </w:t>
      </w:r>
      <w:r>
        <w:rPr>
          <w:i/>
          <w:iCs/>
        </w:rPr>
        <w:t>377</w:t>
      </w:r>
      <w:r>
        <w:t>(1841), 20200390.</w:t>
      </w:r>
    </w:p>
    <w:p w14:paraId="27957587" w14:textId="77777777" w:rsidR="008B066F" w:rsidRDefault="00000000">
      <w:pPr>
        <w:pStyle w:val="Literaturverzeichnis"/>
      </w:pPr>
      <w:bookmarkStart w:id="53" w:name="ref-daucourt2021home"/>
      <w:bookmarkEnd w:id="52"/>
      <w:r>
        <w:t xml:space="preserve">Daucourt, M. C., Napoli, A. R., Quinn, J. M., Wood, S. G., &amp; Hart, S. A. (2021). The home math environment and math achievement: A meta-analysis. </w:t>
      </w:r>
      <w:r>
        <w:rPr>
          <w:i/>
          <w:iCs/>
        </w:rPr>
        <w:t>Psychological Bulletin</w:t>
      </w:r>
      <w:r>
        <w:t xml:space="preserve">, </w:t>
      </w:r>
      <w:r>
        <w:rPr>
          <w:i/>
          <w:iCs/>
        </w:rPr>
        <w:t>147</w:t>
      </w:r>
      <w:r>
        <w:t>(6), 565.</w:t>
      </w:r>
    </w:p>
    <w:p w14:paraId="2BCA804E" w14:textId="77777777" w:rsidR="008B066F" w:rsidRDefault="00000000">
      <w:pPr>
        <w:pStyle w:val="Literaturverzeichnis"/>
      </w:pPr>
      <w:bookmarkStart w:id="54" w:name="ref-deluca2010developmental"/>
      <w:bookmarkEnd w:id="53"/>
      <w:r>
        <w:t xml:space="preserve">De Luca, C. R., &amp; Leventer, R. J. (2010). Developmental trajectories of executive functions across the lifespan. In </w:t>
      </w:r>
      <w:r>
        <w:rPr>
          <w:i/>
          <w:iCs/>
        </w:rPr>
        <w:t>Executive functions and the frontal lobes</w:t>
      </w:r>
      <w:r>
        <w:t xml:space="preserve"> (pp. 57–90). Psychology Press.</w:t>
      </w:r>
    </w:p>
    <w:p w14:paraId="12A8F606" w14:textId="77777777" w:rsidR="008B066F" w:rsidRDefault="00000000">
      <w:pPr>
        <w:pStyle w:val="Literaturverzeichnis"/>
      </w:pPr>
      <w:bookmarkStart w:id="55" w:name="ref-Dehaene2009reading"/>
      <w:bookmarkEnd w:id="54"/>
      <w:r>
        <w:lastRenderedPageBreak/>
        <w:t xml:space="preserve">Dehaene, S. (2009). </w:t>
      </w:r>
      <w:r>
        <w:rPr>
          <w:i/>
          <w:iCs/>
        </w:rPr>
        <w:t>Reading in the brain: The new science of how we read</w:t>
      </w:r>
      <w:r>
        <w:t>. New York: Penguin.</w:t>
      </w:r>
    </w:p>
    <w:p w14:paraId="76F2F4CE" w14:textId="77777777" w:rsidR="008B066F" w:rsidRDefault="00000000">
      <w:pPr>
        <w:pStyle w:val="Literaturverzeichnis"/>
      </w:pPr>
      <w:bookmarkStart w:id="56" w:name="ref-dehaene2006core"/>
      <w:bookmarkEnd w:id="55"/>
      <w:r>
        <w:t xml:space="preserve">Dehaene, S., Izard, V., Pica, P., &amp; Spelke, E. (2006). Core knowledge of geometry in an amazonian indigene group. </w:t>
      </w:r>
      <w:r>
        <w:rPr>
          <w:i/>
          <w:iCs/>
        </w:rPr>
        <w:t>Science</w:t>
      </w:r>
      <w:r>
        <w:t xml:space="preserve">, </w:t>
      </w:r>
      <w:r>
        <w:rPr>
          <w:i/>
          <w:iCs/>
        </w:rPr>
        <w:t>311</w:t>
      </w:r>
      <w:r>
        <w:t>(5759), 381–384.</w:t>
      </w:r>
    </w:p>
    <w:p w14:paraId="61A67E9E" w14:textId="77777777" w:rsidR="008B066F" w:rsidRDefault="00000000">
      <w:pPr>
        <w:pStyle w:val="Literaturverzeichnis"/>
      </w:pPr>
      <w:bookmarkStart w:id="57" w:name="ref-DeLoache1995early"/>
      <w:bookmarkEnd w:id="56"/>
      <w:r>
        <w:t xml:space="preserve">DeLoache, J. S. (1995). Early understanding and use of symbols: The model model. </w:t>
      </w:r>
      <w:r>
        <w:rPr>
          <w:i/>
          <w:iCs/>
        </w:rPr>
        <w:t>Current Directions in Cognitive Science</w:t>
      </w:r>
      <w:r>
        <w:t xml:space="preserve">, </w:t>
      </w:r>
      <w:r>
        <w:rPr>
          <w:i/>
          <w:iCs/>
        </w:rPr>
        <w:t>4</w:t>
      </w:r>
      <w:r>
        <w:t>, 109–113.</w:t>
      </w:r>
    </w:p>
    <w:p w14:paraId="4B544FEF" w14:textId="77777777" w:rsidR="008B066F" w:rsidRDefault="00000000">
      <w:pPr>
        <w:pStyle w:val="Literaturverzeichnis"/>
      </w:pPr>
      <w:bookmarkStart w:id="58" w:name="ref-deloache2004becoming"/>
      <w:bookmarkEnd w:id="57"/>
      <w:r>
        <w:t xml:space="preserve">DeLoache, J. S. (2004). Becoming symbol-minded. </w:t>
      </w:r>
      <w:r>
        <w:rPr>
          <w:i/>
          <w:iCs/>
        </w:rPr>
        <w:t>Trends in Cognitive Sciences</w:t>
      </w:r>
      <w:r>
        <w:t xml:space="preserve">, </w:t>
      </w:r>
      <w:r>
        <w:rPr>
          <w:i/>
          <w:iCs/>
        </w:rPr>
        <w:t>8</w:t>
      </w:r>
      <w:r>
        <w:t>(2), 66–70.</w:t>
      </w:r>
    </w:p>
    <w:p w14:paraId="7C8B6A2C" w14:textId="77777777" w:rsidR="008B066F" w:rsidRDefault="00000000">
      <w:pPr>
        <w:pStyle w:val="Literaturverzeichnis"/>
      </w:pPr>
      <w:bookmarkStart w:id="59" w:name="ref-deloache2011early"/>
      <w:bookmarkEnd w:id="58"/>
      <w:r>
        <w:t xml:space="preserve">DeLoache, J. S. (2011). Early development of the understanding and use of symbolic artifacts. </w:t>
      </w:r>
      <w:r>
        <w:rPr>
          <w:i/>
          <w:iCs/>
        </w:rPr>
        <w:t>The Wiley-Blackwell Handbook of Childhood Cognitive Development</w:t>
      </w:r>
      <w:r>
        <w:t xml:space="preserve">, </w:t>
      </w:r>
      <w:r>
        <w:rPr>
          <w:i/>
          <w:iCs/>
        </w:rPr>
        <w:t>2</w:t>
      </w:r>
      <w:r>
        <w:t>, 312–336.</w:t>
      </w:r>
    </w:p>
    <w:p w14:paraId="0B751ED6" w14:textId="77777777" w:rsidR="008B066F" w:rsidRDefault="00000000">
      <w:pPr>
        <w:pStyle w:val="Literaturverzeichnis"/>
      </w:pPr>
      <w:bookmarkStart w:id="60" w:name="ref-deloache1992picture"/>
      <w:bookmarkEnd w:id="59"/>
      <w:r>
        <w:t xml:space="preserve">DeLoache, J. S., &amp; Marzolf, D. (1992). When a picture is not worth a thousand words: Young children’s understanding of pictures and models. </w:t>
      </w:r>
      <w:r>
        <w:rPr>
          <w:i/>
          <w:iCs/>
        </w:rPr>
        <w:t>Cognitive Development</w:t>
      </w:r>
      <w:r>
        <w:t xml:space="preserve">, </w:t>
      </w:r>
      <w:r>
        <w:rPr>
          <w:i/>
          <w:iCs/>
        </w:rPr>
        <w:t>7</w:t>
      </w:r>
      <w:r>
        <w:t>(3), 317–329.</w:t>
      </w:r>
    </w:p>
    <w:p w14:paraId="272CAD2B" w14:textId="77777777" w:rsidR="008B066F" w:rsidRDefault="00000000">
      <w:pPr>
        <w:pStyle w:val="Literaturverzeichnis"/>
      </w:pPr>
      <w:bookmarkStart w:id="61" w:name="ref-diamond2013executive"/>
      <w:bookmarkEnd w:id="60"/>
      <w:r>
        <w:t xml:space="preserve">Diamond, A. (2013). Executive functions. </w:t>
      </w:r>
      <w:r>
        <w:rPr>
          <w:i/>
          <w:iCs/>
        </w:rPr>
        <w:t>Annual Review of Psychology</w:t>
      </w:r>
      <w:r>
        <w:t xml:space="preserve">, </w:t>
      </w:r>
      <w:r>
        <w:rPr>
          <w:i/>
          <w:iCs/>
        </w:rPr>
        <w:t>64</w:t>
      </w:r>
      <w:r>
        <w:t>(1), 135–168.</w:t>
      </w:r>
    </w:p>
    <w:p w14:paraId="77FC11A6" w14:textId="77777777" w:rsidR="008B066F" w:rsidRDefault="00000000">
      <w:pPr>
        <w:pStyle w:val="Literaturverzeichnis"/>
      </w:pPr>
      <w:bookmarkStart w:id="62" w:name="ref-diamond2016preschool"/>
      <w:bookmarkEnd w:id="61"/>
      <w:r>
        <w:t xml:space="preserve">Diamond, A., Carlson, S. M., &amp; Beck, D. M. (2016). Preschool children’s performance in task switching on the dimensional change card sort task: Separating the dimensions aids the ability to switch. In </w:t>
      </w:r>
      <w:r>
        <w:rPr>
          <w:i/>
          <w:iCs/>
        </w:rPr>
        <w:t>Measurement of executive function in early childhood</w:t>
      </w:r>
      <w:r>
        <w:t xml:space="preserve"> (pp. 689–729). Psychology Press.</w:t>
      </w:r>
    </w:p>
    <w:p w14:paraId="1C3E1501" w14:textId="77777777" w:rsidR="008B066F" w:rsidRDefault="00000000">
      <w:pPr>
        <w:pStyle w:val="Literaturverzeichnis"/>
      </w:pPr>
      <w:bookmarkStart w:id="63" w:name="ref-donnelly2007visual"/>
      <w:bookmarkEnd w:id="62"/>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p>
    <w:p w14:paraId="14B8790B" w14:textId="77777777" w:rsidR="008B066F" w:rsidRDefault="00000000">
      <w:pPr>
        <w:pStyle w:val="Literaturverzeichnis"/>
      </w:pPr>
      <w:bookmarkStart w:id="64" w:name="ref-eckert2022does"/>
      <w:bookmarkEnd w:id="63"/>
      <w:r>
        <w:t xml:space="preserve">Eckert, J., Bohn, M., &amp; Spaethe, J. (2022). Does quantity matter to a stingless bee? </w:t>
      </w:r>
      <w:r>
        <w:rPr>
          <w:i/>
          <w:iCs/>
        </w:rPr>
        <w:t>Animal Cognition</w:t>
      </w:r>
      <w:r>
        <w:t xml:space="preserve">, </w:t>
      </w:r>
      <w:r>
        <w:rPr>
          <w:i/>
          <w:iCs/>
        </w:rPr>
        <w:t>25</w:t>
      </w:r>
      <w:r>
        <w:t>(3), 617–629.</w:t>
      </w:r>
    </w:p>
    <w:p w14:paraId="04085EE3" w14:textId="77777777" w:rsidR="008B066F" w:rsidRDefault="00000000">
      <w:pPr>
        <w:pStyle w:val="Literaturverzeichnis"/>
      </w:pPr>
      <w:bookmarkStart w:id="65" w:name="ref-fay2014iconicity"/>
      <w:bookmarkEnd w:id="64"/>
      <w:r>
        <w:lastRenderedPageBreak/>
        <w:t xml:space="preserve">Fay, N., Ellison, M., &amp; Garrod, S. (2014). Iconicity: From sign to system in human communication and language. </w:t>
      </w:r>
      <w:r>
        <w:rPr>
          <w:i/>
          <w:iCs/>
        </w:rPr>
        <w:t>Pragmatics &amp; Cognition</w:t>
      </w:r>
      <w:r>
        <w:t xml:space="preserve">, </w:t>
      </w:r>
      <w:r>
        <w:rPr>
          <w:i/>
          <w:iCs/>
        </w:rPr>
        <w:t>22</w:t>
      </w:r>
      <w:r>
        <w:t>(2), 244–263.</w:t>
      </w:r>
    </w:p>
    <w:p w14:paraId="502CCD4E" w14:textId="77777777" w:rsidR="008B066F" w:rsidRDefault="00000000">
      <w:pPr>
        <w:pStyle w:val="Literaturverzeichnis"/>
      </w:pPr>
      <w:bookmarkStart w:id="66" w:name="ref-ferry2025bigger"/>
      <w:bookmarkEnd w:id="65"/>
      <w:r>
        <w:t xml:space="preserve">Ferry, A. L., Corcoran, M. G., Williams, E., Curtis, S. M., Gale, C. J., &amp; Twomey, K. E. (2025). Bigger versus smaller: Children’s understanding of size comparison words becomes more precise with age. </w:t>
      </w:r>
      <w:r>
        <w:rPr>
          <w:i/>
          <w:iCs/>
        </w:rPr>
        <w:t>Child Development</w:t>
      </w:r>
      <w:r>
        <w:t xml:space="preserve">, </w:t>
      </w:r>
      <w:r>
        <w:rPr>
          <w:i/>
          <w:iCs/>
        </w:rPr>
        <w:t>96</w:t>
      </w:r>
      <w:r>
        <w:t>(2), 492–507.</w:t>
      </w:r>
    </w:p>
    <w:p w14:paraId="61CD14EE" w14:textId="77777777" w:rsidR="008B066F" w:rsidRDefault="00000000">
      <w:pPr>
        <w:pStyle w:val="Literaturverzeichnis"/>
      </w:pPr>
      <w:bookmarkStart w:id="67" w:name="ref-flavell1981young"/>
      <w:bookmarkEnd w:id="66"/>
      <w:r>
        <w:t xml:space="preserve">Flavell, J. H., Everett, B. A., Croft, K., &amp; Flavell, E. R. (1981). Young children’s knowledge about visual perception: Further evidence for the level 1–level 2 distinction. </w:t>
      </w:r>
      <w:r>
        <w:rPr>
          <w:i/>
          <w:iCs/>
        </w:rPr>
        <w:t>Developmental Psychology</w:t>
      </w:r>
      <w:r>
        <w:t xml:space="preserve">, </w:t>
      </w:r>
      <w:r>
        <w:rPr>
          <w:i/>
          <w:iCs/>
        </w:rPr>
        <w:t>17</w:t>
      </w:r>
      <w:r>
        <w:t>(1), 99.</w:t>
      </w:r>
    </w:p>
    <w:p w14:paraId="13A8E85F" w14:textId="77777777" w:rsidR="008B066F" w:rsidRDefault="00000000">
      <w:pPr>
        <w:pStyle w:val="Literaturverzeichnis"/>
      </w:pPr>
      <w:bookmarkStart w:id="68" w:name="ref-fort2018symbouki"/>
      <w:bookmarkEnd w:id="67"/>
      <w:r>
        <w:t xml:space="preserve">Fort, M., Lammertink, I., Peperkamp, S., Guevara-Rukoz, A., Fikkert, P., &amp; Tsuji, S. (2018). Symbouki: A meta-analysis on the emergence of sound symbolism in early language acquisition. </w:t>
      </w:r>
      <w:r>
        <w:rPr>
          <w:i/>
          <w:iCs/>
        </w:rPr>
        <w:t>Developmental Science</w:t>
      </w:r>
      <w:r>
        <w:t xml:space="preserve">, </w:t>
      </w:r>
      <w:r>
        <w:rPr>
          <w:i/>
          <w:iCs/>
        </w:rPr>
        <w:t>21</w:t>
      </w:r>
      <w:r>
        <w:t>(5), e12659.</w:t>
      </w:r>
    </w:p>
    <w:p w14:paraId="51E74C4B" w14:textId="77777777" w:rsidR="008B066F" w:rsidRPr="005A2110" w:rsidRDefault="00000000">
      <w:pPr>
        <w:pStyle w:val="Literaturverzeichnis"/>
        <w:rPr>
          <w:lang w:val="it-IT"/>
        </w:rPr>
      </w:pPr>
      <w:bookmarkStart w:id="69" w:name="ref-frausel2020origins"/>
      <w:bookmarkEnd w:id="68"/>
      <w:r>
        <w:t xml:space="preserve">Frausel, R. R., Silvey, C., Freeman, C., Dowling, N., Richland, L. E., Levine, S. C., … Goldin-Meadow, S. (2020). The origins of higher-order thinking lie in children’s spontaneous talk across the pre-school years. </w:t>
      </w:r>
      <w:r w:rsidRPr="005A2110">
        <w:rPr>
          <w:i/>
          <w:iCs/>
          <w:lang w:val="it-IT"/>
        </w:rPr>
        <w:t>Cognition</w:t>
      </w:r>
      <w:r w:rsidRPr="005A2110">
        <w:rPr>
          <w:lang w:val="it-IT"/>
        </w:rPr>
        <w:t xml:space="preserve">, </w:t>
      </w:r>
      <w:r w:rsidRPr="005A2110">
        <w:rPr>
          <w:i/>
          <w:iCs/>
          <w:lang w:val="it-IT"/>
        </w:rPr>
        <w:t>200</w:t>
      </w:r>
      <w:r w:rsidRPr="005A2110">
        <w:rPr>
          <w:lang w:val="it-IT"/>
        </w:rPr>
        <w:t>, 104274.</w:t>
      </w:r>
    </w:p>
    <w:p w14:paraId="3166B389" w14:textId="77777777" w:rsidR="008B066F" w:rsidRDefault="00000000">
      <w:pPr>
        <w:pStyle w:val="Literaturverzeichnis"/>
      </w:pPr>
      <w:bookmarkStart w:id="70" w:name="ref-ganea2008transfer"/>
      <w:bookmarkEnd w:id="69"/>
      <w:r w:rsidRPr="005A2110">
        <w:rPr>
          <w:lang w:val="it-IT"/>
        </w:rPr>
        <w:t xml:space="preserve">Ganea, P. A., Pickard, M. B., &amp; DeLoache, J. S. (2008). </w:t>
      </w:r>
      <w:r>
        <w:t xml:space="preserve">Transfer between picture books and the real world by very young children. </w:t>
      </w:r>
      <w:r>
        <w:rPr>
          <w:i/>
          <w:iCs/>
        </w:rPr>
        <w:t>Journal of Cognition and Development</w:t>
      </w:r>
      <w:r>
        <w:t xml:space="preserve">, </w:t>
      </w:r>
      <w:r>
        <w:rPr>
          <w:i/>
          <w:iCs/>
        </w:rPr>
        <w:t>9</w:t>
      </w:r>
      <w:r>
        <w:t xml:space="preserve">(1), 46–66. </w:t>
      </w:r>
      <w:hyperlink r:id="rId20">
        <w:r>
          <w:rPr>
            <w:rStyle w:val="Hyperlink"/>
          </w:rPr>
          <w:t>https://doi.org/10.1080/15248370701836592</w:t>
        </w:r>
      </w:hyperlink>
    </w:p>
    <w:p w14:paraId="4C0263E3" w14:textId="77777777" w:rsidR="008B066F" w:rsidRDefault="00000000">
      <w:pPr>
        <w:pStyle w:val="Literaturverzeichnis"/>
      </w:pPr>
      <w:bookmarkStart w:id="71" w:name="ref-gelman1998shape"/>
      <w:bookmarkEnd w:id="70"/>
      <w:r>
        <w:t xml:space="preserve">Gelman, S. A., &amp; Ebeling, K. S. (1998). Shape and representational status in children’s early naming. </w:t>
      </w:r>
      <w:r>
        <w:rPr>
          <w:i/>
          <w:iCs/>
        </w:rPr>
        <w:t>Cognition</w:t>
      </w:r>
      <w:r>
        <w:t xml:space="preserve">, </w:t>
      </w:r>
      <w:r>
        <w:rPr>
          <w:i/>
          <w:iCs/>
        </w:rPr>
        <w:t>66</w:t>
      </w:r>
      <w:r>
        <w:t>(2), B35–B47.</w:t>
      </w:r>
    </w:p>
    <w:p w14:paraId="12BEE27F" w14:textId="77777777" w:rsidR="008B066F" w:rsidRDefault="00000000">
      <w:pPr>
        <w:pStyle w:val="Literaturverzeichnis"/>
      </w:pPr>
      <w:bookmarkStart w:id="72" w:name="ref-gentner1977children"/>
      <w:bookmarkEnd w:id="71"/>
      <w:r>
        <w:t xml:space="preserve">Gentner, D. (1977). Children’s performance on a spatial analogies task. </w:t>
      </w:r>
      <w:r>
        <w:rPr>
          <w:i/>
          <w:iCs/>
        </w:rPr>
        <w:t>Child Development</w:t>
      </w:r>
      <w:r>
        <w:t>, 1034–1039.</w:t>
      </w:r>
    </w:p>
    <w:p w14:paraId="4003CC3F" w14:textId="77777777" w:rsidR="008B066F" w:rsidRDefault="00000000">
      <w:pPr>
        <w:pStyle w:val="Literaturverzeichnis"/>
      </w:pPr>
      <w:bookmarkStart w:id="73" w:name="ref-gentner2017analogy"/>
      <w:bookmarkEnd w:id="72"/>
      <w:r>
        <w:lastRenderedPageBreak/>
        <w:t xml:space="preserve">Gentner, D., &amp; Hoyos, C. (2017). Analogy and abstraction. </w:t>
      </w:r>
      <w:r>
        <w:rPr>
          <w:i/>
          <w:iCs/>
        </w:rPr>
        <w:t>Topics in Cognitive Science</w:t>
      </w:r>
      <w:r>
        <w:t xml:space="preserve">, </w:t>
      </w:r>
      <w:r>
        <w:rPr>
          <w:i/>
          <w:iCs/>
        </w:rPr>
        <w:t>9</w:t>
      </w:r>
      <w:r>
        <w:t>(3), 672–693.</w:t>
      </w:r>
    </w:p>
    <w:p w14:paraId="6CBF69DF" w14:textId="77777777" w:rsidR="008B066F" w:rsidRDefault="00000000">
      <w:pPr>
        <w:pStyle w:val="Literaturverzeichnis"/>
      </w:pPr>
      <w:bookmarkStart w:id="74" w:name="ref-gerhardstein2002development"/>
      <w:bookmarkEnd w:id="73"/>
      <w:r w:rsidRPr="005A2110">
        <w:rPr>
          <w:lang w:val="nl-NL"/>
        </w:rPr>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p>
    <w:p w14:paraId="064D79D0" w14:textId="77777777" w:rsidR="008B066F" w:rsidRDefault="00000000">
      <w:pPr>
        <w:pStyle w:val="Literaturverzeichnis"/>
      </w:pPr>
      <w:bookmarkStart w:id="75" w:name="ref-gick1980analogical"/>
      <w:bookmarkEnd w:id="74"/>
      <w:r>
        <w:t xml:space="preserve">Gick, M. L., &amp; Holyoak, K. J. (1980). Analogical problem solving. </w:t>
      </w:r>
      <w:r>
        <w:rPr>
          <w:i/>
          <w:iCs/>
        </w:rPr>
        <w:t>Cognitive Psychology</w:t>
      </w:r>
      <w:r>
        <w:t xml:space="preserve">, </w:t>
      </w:r>
      <w:r>
        <w:rPr>
          <w:i/>
          <w:iCs/>
        </w:rPr>
        <w:t>12</w:t>
      </w:r>
      <w:r>
        <w:t>(3), 306–355.</w:t>
      </w:r>
    </w:p>
    <w:p w14:paraId="6546E652" w14:textId="77777777" w:rsidR="008B066F" w:rsidRDefault="00000000">
      <w:pPr>
        <w:pStyle w:val="Literaturverzeichnis"/>
      </w:pPr>
      <w:bookmarkStart w:id="76" w:name="ref-goddu2020transformations"/>
      <w:bookmarkEnd w:id="75"/>
      <w:r w:rsidRPr="005A2110">
        <w:rPr>
          <w:lang w:val="it-IT"/>
        </w:rPr>
        <w:t xml:space="preserve">Goddu, M. K., Lombrozo, T., &amp; Gopnik, A. (2020). </w:t>
      </w:r>
      <w:r>
        <w:t xml:space="preserve">Transformations and transfer: Preschool children understand abstract relations and reason analogically in a causal task. </w:t>
      </w:r>
      <w:r>
        <w:rPr>
          <w:i/>
          <w:iCs/>
        </w:rPr>
        <w:t>Child Development</w:t>
      </w:r>
      <w:r>
        <w:t xml:space="preserve">, </w:t>
      </w:r>
      <w:r>
        <w:rPr>
          <w:i/>
          <w:iCs/>
        </w:rPr>
        <w:t>91</w:t>
      </w:r>
      <w:r>
        <w:t>(6), 1898–1915.</w:t>
      </w:r>
    </w:p>
    <w:p w14:paraId="6BFEB5BF" w14:textId="77777777" w:rsidR="008B066F" w:rsidRDefault="00000000">
      <w:pPr>
        <w:pStyle w:val="Literaturverzeichnis"/>
      </w:pPr>
      <w:bookmarkStart w:id="77" w:name="ref-goldin1977development"/>
      <w:bookmarkEnd w:id="76"/>
      <w:r>
        <w:t xml:space="preserve">Goldin-Meadow, S., &amp; Feldman, H. (1977). The development of language-like communication without a language model. </w:t>
      </w:r>
      <w:r>
        <w:rPr>
          <w:i/>
          <w:iCs/>
        </w:rPr>
        <w:t>Science</w:t>
      </w:r>
      <w:r>
        <w:t xml:space="preserve">, </w:t>
      </w:r>
      <w:r>
        <w:rPr>
          <w:i/>
          <w:iCs/>
        </w:rPr>
        <w:t>197</w:t>
      </w:r>
      <w:r>
        <w:t>(4301), 401–403.</w:t>
      </w:r>
    </w:p>
    <w:p w14:paraId="258F580D" w14:textId="77777777" w:rsidR="008B066F" w:rsidRDefault="00000000">
      <w:pPr>
        <w:pStyle w:val="Literaturverzeichnis"/>
      </w:pPr>
      <w:bookmarkStart w:id="78" w:name="ref-gopnik1988children"/>
      <w:bookmarkEnd w:id="77"/>
      <w:r>
        <w:t xml:space="preserve">Gopnik, A., &amp; Astington, J. (1988). Children’s understanding of representational change and its relation to the understanding of false belief and the appearance-reality distinction. </w:t>
      </w:r>
      <w:r>
        <w:rPr>
          <w:i/>
          <w:iCs/>
        </w:rPr>
        <w:t>Child Development</w:t>
      </w:r>
      <w:r>
        <w:t>, 26–37.</w:t>
      </w:r>
    </w:p>
    <w:p w14:paraId="0731A159" w14:textId="77777777" w:rsidR="008B066F" w:rsidRDefault="00000000">
      <w:pPr>
        <w:pStyle w:val="Literaturverzeichnis"/>
      </w:pPr>
      <w:bookmarkStart w:id="79" w:name="ref-goswami1991analogical"/>
      <w:bookmarkEnd w:id="78"/>
      <w:r>
        <w:t xml:space="preserve">Goswami, U. (1991). Analogical reasoning: What develops? A review of research and theory. </w:t>
      </w:r>
      <w:r>
        <w:rPr>
          <w:i/>
          <w:iCs/>
        </w:rPr>
        <w:t>Child Development</w:t>
      </w:r>
      <w:r>
        <w:t xml:space="preserve">, </w:t>
      </w:r>
      <w:r>
        <w:rPr>
          <w:i/>
          <w:iCs/>
        </w:rPr>
        <w:t>62</w:t>
      </w:r>
      <w:r>
        <w:t>(1), 1–22.</w:t>
      </w:r>
    </w:p>
    <w:p w14:paraId="160796C5" w14:textId="77777777" w:rsidR="008B066F" w:rsidRDefault="00000000">
      <w:pPr>
        <w:pStyle w:val="Literaturverzeichnis"/>
      </w:pPr>
      <w:bookmarkStart w:id="80" w:name="ref-halford1998processing"/>
      <w:bookmarkEnd w:id="79"/>
      <w:r>
        <w:t xml:space="preserve">Halford, G. S., Wilson, W. H., &amp; Phillips, S. (1998). Processing capacity defined by relational complexity: Implications for comparative, developmental, and cognitive psychology. </w:t>
      </w:r>
      <w:r>
        <w:rPr>
          <w:i/>
          <w:iCs/>
        </w:rPr>
        <w:t>Behavioral and Brain Sciences</w:t>
      </w:r>
      <w:r>
        <w:t xml:space="preserve">, </w:t>
      </w:r>
      <w:r>
        <w:rPr>
          <w:i/>
          <w:iCs/>
        </w:rPr>
        <w:t>21</w:t>
      </w:r>
      <w:r>
        <w:t>(6), 803–831.</w:t>
      </w:r>
    </w:p>
    <w:p w14:paraId="3C2FC953" w14:textId="77777777" w:rsidR="008B066F" w:rsidRDefault="00000000">
      <w:pPr>
        <w:pStyle w:val="Literaturverzeichnis"/>
      </w:pPr>
      <w:bookmarkStart w:id="81" w:name="ref-haun2011conformity"/>
      <w:bookmarkEnd w:id="80"/>
      <w:r>
        <w:t xml:space="preserve">Haun, D. B., &amp; Tomasello, M. (2011). Conformity to peer pressure in preschool children. </w:t>
      </w:r>
      <w:r>
        <w:rPr>
          <w:i/>
          <w:iCs/>
        </w:rPr>
        <w:t>Child Development</w:t>
      </w:r>
      <w:r>
        <w:t xml:space="preserve">, </w:t>
      </w:r>
      <w:r>
        <w:rPr>
          <w:i/>
          <w:iCs/>
        </w:rPr>
        <w:t>82</w:t>
      </w:r>
      <w:r>
        <w:t>(6), 1759–1767.</w:t>
      </w:r>
    </w:p>
    <w:p w14:paraId="104B531E" w14:textId="77777777" w:rsidR="008B066F" w:rsidRDefault="00000000">
      <w:pPr>
        <w:pStyle w:val="Literaturverzeichnis"/>
      </w:pPr>
      <w:bookmarkStart w:id="82" w:name="ref-henrich2010weirdest"/>
      <w:bookmarkEnd w:id="81"/>
      <w:r>
        <w:lastRenderedPageBreak/>
        <w:t xml:space="preserve">Henrich, J., Heine, S. J., &amp; Norenzayan, A. (2010). The weirdest people in the world? </w:t>
      </w:r>
      <w:r>
        <w:rPr>
          <w:i/>
          <w:iCs/>
        </w:rPr>
        <w:t>Behavioral and Brain Sciences</w:t>
      </w:r>
      <w:r>
        <w:t xml:space="preserve">, </w:t>
      </w:r>
      <w:r>
        <w:rPr>
          <w:i/>
          <w:iCs/>
        </w:rPr>
        <w:t>33</w:t>
      </w:r>
      <w:r>
        <w:t>(2-3), 61–83.</w:t>
      </w:r>
    </w:p>
    <w:p w14:paraId="34C050D5" w14:textId="77777777" w:rsidR="008B066F" w:rsidRDefault="00000000">
      <w:pPr>
        <w:pStyle w:val="Literaturverzeichnis"/>
      </w:pPr>
      <w:bookmarkStart w:id="83" w:name="ref-House2013ontogeny"/>
      <w:bookmarkEnd w:id="82"/>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p>
    <w:p w14:paraId="50E9D84A" w14:textId="77777777" w:rsidR="008B066F" w:rsidRDefault="00000000">
      <w:pPr>
        <w:pStyle w:val="Literaturverzeichnis"/>
      </w:pPr>
      <w:bookmarkStart w:id="84" w:name="ref-ifrah2000universal"/>
      <w:bookmarkEnd w:id="83"/>
      <w:r>
        <w:t xml:space="preserve">Ifrah, G. (2000). </w:t>
      </w:r>
      <w:r>
        <w:rPr>
          <w:i/>
          <w:iCs/>
        </w:rPr>
        <w:t>The universal history of numbers</w:t>
      </w:r>
      <w:r>
        <w:t>. Harvill London.</w:t>
      </w:r>
    </w:p>
    <w:p w14:paraId="361B71B7" w14:textId="77777777" w:rsidR="008B066F" w:rsidRDefault="00000000">
      <w:pPr>
        <w:pStyle w:val="Literaturverzeichnis"/>
      </w:pPr>
      <w:bookmarkStart w:id="85" w:name="ref-imai2008sound"/>
      <w:bookmarkEnd w:id="84"/>
      <w:r>
        <w:t xml:space="preserve">Imai, M., Kita, S., Nagumo, M., &amp; Okada, H. (2008). Sound symbolism facilitates early verb learning. </w:t>
      </w:r>
      <w:r>
        <w:rPr>
          <w:i/>
          <w:iCs/>
        </w:rPr>
        <w:t>Cognition</w:t>
      </w:r>
      <w:r>
        <w:t xml:space="preserve">, </w:t>
      </w:r>
      <w:r>
        <w:rPr>
          <w:i/>
          <w:iCs/>
        </w:rPr>
        <w:t>109</w:t>
      </w:r>
      <w:r>
        <w:t>(1), 54–65.</w:t>
      </w:r>
    </w:p>
    <w:p w14:paraId="55E6435C" w14:textId="77777777" w:rsidR="008B066F" w:rsidRDefault="00000000">
      <w:pPr>
        <w:pStyle w:val="Literaturverzeichnis"/>
      </w:pPr>
      <w:bookmarkStart w:id="86" w:name="ref-jablonski2014inhibitory"/>
      <w:bookmarkEnd w:id="85"/>
      <w:r>
        <w:t xml:space="preserve">Jablonski, S. (2014). Inhibitory control and literacy development among 3-to 5-year-old children. </w:t>
      </w:r>
      <w:r>
        <w:rPr>
          <w:i/>
          <w:iCs/>
        </w:rPr>
        <w:t>L1-Educational Studies in Language and Literature</w:t>
      </w:r>
      <w:r>
        <w:t>, 1–25.</w:t>
      </w:r>
    </w:p>
    <w:p w14:paraId="7DB2FE01" w14:textId="77777777" w:rsidR="008B066F" w:rsidRDefault="00000000">
      <w:pPr>
        <w:pStyle w:val="Literaturverzeichnis"/>
      </w:pPr>
      <w:bookmarkStart w:id="87" w:name="ref-karmiloff1994beyond"/>
      <w:bookmarkEnd w:id="86"/>
      <w:r>
        <w:t xml:space="preserve">Karmiloff-Smith, B. A. (1994). Beyond modularity: A developmental perspective on cognitive science. </w:t>
      </w:r>
      <w:r>
        <w:rPr>
          <w:i/>
          <w:iCs/>
        </w:rPr>
        <w:t>European Journal of Disorders of Communication</w:t>
      </w:r>
      <w:r>
        <w:t xml:space="preserve">, </w:t>
      </w:r>
      <w:r>
        <w:rPr>
          <w:i/>
          <w:iCs/>
        </w:rPr>
        <w:t>29</w:t>
      </w:r>
      <w:r>
        <w:t>(1), 95–105.</w:t>
      </w:r>
    </w:p>
    <w:p w14:paraId="56C7678B" w14:textId="77777777" w:rsidR="008B066F" w:rsidRPr="005A2110" w:rsidRDefault="00000000">
      <w:pPr>
        <w:pStyle w:val="Literaturverzeichnis"/>
        <w:rPr>
          <w:lang w:val="it-IT"/>
        </w:rPr>
      </w:pPr>
      <w:bookmarkStart w:id="88" w:name="ref-kellman1983perception"/>
      <w:bookmarkEnd w:id="87"/>
      <w:r>
        <w:t xml:space="preserve">Kellman, P. J., &amp; Spelke, E. S. (1983). Perception of partly occluded objects in infancy. </w:t>
      </w:r>
      <w:r w:rsidRPr="005A2110">
        <w:rPr>
          <w:i/>
          <w:iCs/>
          <w:lang w:val="it-IT"/>
        </w:rPr>
        <w:t>Cognitive Psychology</w:t>
      </w:r>
      <w:r w:rsidRPr="005A2110">
        <w:rPr>
          <w:lang w:val="it-IT"/>
        </w:rPr>
        <w:t xml:space="preserve">, </w:t>
      </w:r>
      <w:r w:rsidRPr="005A2110">
        <w:rPr>
          <w:i/>
          <w:iCs/>
          <w:lang w:val="it-IT"/>
        </w:rPr>
        <w:t>15</w:t>
      </w:r>
      <w:r w:rsidRPr="005A2110">
        <w:rPr>
          <w:lang w:val="it-IT"/>
        </w:rPr>
        <w:t>(4), 483–524.</w:t>
      </w:r>
    </w:p>
    <w:p w14:paraId="3ADC3103" w14:textId="77777777" w:rsidR="008B066F" w:rsidRDefault="00000000">
      <w:pPr>
        <w:pStyle w:val="Literaturverzeichnis"/>
      </w:pPr>
      <w:bookmarkStart w:id="89" w:name="ref-knoeferle2017drives"/>
      <w:bookmarkEnd w:id="88"/>
      <w:r w:rsidRPr="005A2110">
        <w:rPr>
          <w:lang w:val="it-IT"/>
        </w:rPr>
        <w:t xml:space="preserve">Knoeferle, K., Li, J., Maggioni, E., &amp; Spence, C. (2017). </w:t>
      </w:r>
      <w:r>
        <w:t xml:space="preserve">What drives sound symbolism? Different acoustic cues underlie sound-size and sound-shape mappings. </w:t>
      </w:r>
      <w:r>
        <w:rPr>
          <w:i/>
          <w:iCs/>
        </w:rPr>
        <w:t>Scientific Reports</w:t>
      </w:r>
      <w:r>
        <w:t xml:space="preserve">, </w:t>
      </w:r>
      <w:r>
        <w:rPr>
          <w:i/>
          <w:iCs/>
        </w:rPr>
        <w:t>7</w:t>
      </w:r>
      <w:r>
        <w:t>(1), 5562.</w:t>
      </w:r>
    </w:p>
    <w:p w14:paraId="2C51210C" w14:textId="77777777" w:rsidR="008B066F" w:rsidRDefault="00000000">
      <w:pPr>
        <w:pStyle w:val="Literaturverzeichnis"/>
      </w:pPr>
      <w:bookmarkStart w:id="90" w:name="ref-kroupin2022importance"/>
      <w:bookmarkEnd w:id="89"/>
      <w:r>
        <w:t xml:space="preserve">Kroupin, I. G., &amp; Carey, S. E. (2022a). The importance of inference in relational reasoning: Relational matching as a case study. </w:t>
      </w:r>
      <w:r>
        <w:rPr>
          <w:i/>
          <w:iCs/>
        </w:rPr>
        <w:t>Journal of Experimental Psychology: General</w:t>
      </w:r>
      <w:r>
        <w:t xml:space="preserve">, </w:t>
      </w:r>
      <w:r>
        <w:rPr>
          <w:i/>
          <w:iCs/>
        </w:rPr>
        <w:t>151</w:t>
      </w:r>
      <w:r>
        <w:t>(1), 224.</w:t>
      </w:r>
    </w:p>
    <w:p w14:paraId="3F6DA4D9" w14:textId="77777777" w:rsidR="008B066F" w:rsidRPr="005A2110" w:rsidRDefault="00000000">
      <w:pPr>
        <w:pStyle w:val="Literaturverzeichnis"/>
        <w:rPr>
          <w:lang w:val="de-DE"/>
        </w:rPr>
      </w:pPr>
      <w:bookmarkStart w:id="91" w:name="ref-kroupin2022you"/>
      <w:bookmarkEnd w:id="90"/>
      <w:r>
        <w:lastRenderedPageBreak/>
        <w:t xml:space="preserve">Kroupin, I. G., &amp; Carey, S. E. (2022b). You cannot find what you are not looking for: Population differences in relational reasoning are sometimes differences in inductive biases alone. </w:t>
      </w:r>
      <w:r w:rsidRPr="005A2110">
        <w:rPr>
          <w:i/>
          <w:iCs/>
          <w:lang w:val="de-DE"/>
        </w:rPr>
        <w:t>Cognition</w:t>
      </w:r>
      <w:r w:rsidRPr="005A2110">
        <w:rPr>
          <w:lang w:val="de-DE"/>
        </w:rPr>
        <w:t xml:space="preserve">, </w:t>
      </w:r>
      <w:r w:rsidRPr="005A2110">
        <w:rPr>
          <w:i/>
          <w:iCs/>
          <w:lang w:val="de-DE"/>
        </w:rPr>
        <w:t>222</w:t>
      </w:r>
      <w:r w:rsidRPr="005A2110">
        <w:rPr>
          <w:lang w:val="de-DE"/>
        </w:rPr>
        <w:t>, 105007.</w:t>
      </w:r>
    </w:p>
    <w:p w14:paraId="6C59EA5A" w14:textId="77777777" w:rsidR="008B066F" w:rsidRPr="005A2110" w:rsidRDefault="00000000">
      <w:pPr>
        <w:pStyle w:val="Literaturverzeichnis"/>
        <w:rPr>
          <w:lang w:val="de-DE"/>
        </w:rPr>
      </w:pPr>
      <w:bookmarkStart w:id="92" w:name="ref-kucharz2012elementarbildung"/>
      <w:bookmarkEnd w:id="91"/>
      <w:r w:rsidRPr="005A2110">
        <w:rPr>
          <w:lang w:val="de-DE"/>
        </w:rPr>
        <w:t xml:space="preserve">Kucharz, D. (2012). </w:t>
      </w:r>
      <w:r w:rsidRPr="005A2110">
        <w:rPr>
          <w:i/>
          <w:iCs/>
          <w:lang w:val="de-DE"/>
        </w:rPr>
        <w:t>Elementarbildung</w:t>
      </w:r>
      <w:r w:rsidRPr="005A2110">
        <w:rPr>
          <w:lang w:val="de-DE"/>
        </w:rPr>
        <w:t>. Weinheim, Basel: Beltz Verlag.</w:t>
      </w:r>
    </w:p>
    <w:p w14:paraId="50807083" w14:textId="77777777" w:rsidR="008B066F" w:rsidRDefault="00000000">
      <w:pPr>
        <w:pStyle w:val="Literaturverzeichnis"/>
      </w:pPr>
      <w:bookmarkStart w:id="93" w:name="ref-landau1986early"/>
      <w:bookmarkEnd w:id="92"/>
      <w:r w:rsidRPr="005A2110">
        <w:rPr>
          <w:lang w:val="de-DE"/>
        </w:rPr>
        <w:t xml:space="preserve">Landau, B. (1986). </w:t>
      </w:r>
      <w:r>
        <w:t xml:space="preserve">Early map use as an unlearned ability. </w:t>
      </w:r>
      <w:r>
        <w:rPr>
          <w:i/>
          <w:iCs/>
        </w:rPr>
        <w:t>Cognition</w:t>
      </w:r>
      <w:r>
        <w:t xml:space="preserve">, </w:t>
      </w:r>
      <w:r>
        <w:rPr>
          <w:i/>
          <w:iCs/>
        </w:rPr>
        <w:t>22</w:t>
      </w:r>
      <w:r>
        <w:t>(3), 201–223.</w:t>
      </w:r>
    </w:p>
    <w:p w14:paraId="6A692821" w14:textId="77777777" w:rsidR="008B066F" w:rsidRDefault="00000000">
      <w:pPr>
        <w:pStyle w:val="Literaturverzeichnis"/>
      </w:pPr>
      <w:bookmarkStart w:id="94" w:name="ref-Leekam2010adults"/>
      <w:bookmarkEnd w:id="93"/>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21">
        <w:r>
          <w:rPr>
            <w:rStyle w:val="Hyperlink"/>
          </w:rPr>
          <w:t>https://doi.org/10.1111/j.1467-7687.2009.00862.x</w:t>
        </w:r>
      </w:hyperlink>
    </w:p>
    <w:p w14:paraId="5F357252" w14:textId="77777777" w:rsidR="008B066F" w:rsidRDefault="00000000">
      <w:pPr>
        <w:pStyle w:val="Literaturverzeichnis"/>
      </w:pPr>
      <w:bookmarkStart w:id="95" w:name="ref-liben2013role"/>
      <w:bookmarkEnd w:id="94"/>
      <w:r>
        <w:t xml:space="preserve">Liben, L. S., &amp; Downs, R. M. (2013). The role of graphic representations in understanding the world. In </w:t>
      </w:r>
      <w:r>
        <w:rPr>
          <w:i/>
          <w:iCs/>
        </w:rPr>
        <w:t>Visions of aesthetics, the environment &amp; development</w:t>
      </w:r>
      <w:r>
        <w:t xml:space="preserve"> (pp. 139–180). Psychology Press.</w:t>
      </w:r>
    </w:p>
    <w:p w14:paraId="206FA90E" w14:textId="77777777" w:rsidR="008B066F" w:rsidRDefault="00000000">
      <w:pPr>
        <w:pStyle w:val="Literaturverzeichnis"/>
      </w:pPr>
      <w:bookmarkStart w:id="96" w:name="ref-long2019real"/>
      <w:bookmarkEnd w:id="95"/>
      <w:r>
        <w:t xml:space="preserve">Long, B., Moher, M., Carey, S., &amp; Konkle, T. (2019). Real-world size is automatically encoded in preschoolers’ object representations. </w:t>
      </w:r>
      <w:r>
        <w:rPr>
          <w:i/>
          <w:iCs/>
        </w:rPr>
        <w:t>Journal of Experimental Psychology: Human Perception and Performance</w:t>
      </w:r>
      <w:r>
        <w:t xml:space="preserve">, </w:t>
      </w:r>
      <w:r>
        <w:rPr>
          <w:i/>
          <w:iCs/>
        </w:rPr>
        <w:t>45</w:t>
      </w:r>
      <w:r>
        <w:t>(7), 863.</w:t>
      </w:r>
    </w:p>
    <w:p w14:paraId="76B53BD3" w14:textId="77777777" w:rsidR="008B066F" w:rsidRDefault="00000000">
      <w:pPr>
        <w:pStyle w:val="Literaturverzeichnis"/>
      </w:pPr>
      <w:bookmarkStart w:id="97" w:name="ref-luquet2001children"/>
      <w:bookmarkEnd w:id="96"/>
      <w:r>
        <w:t xml:space="preserve">Luquet, G.-H., &amp; Costall, A. T. (2001). </w:t>
      </w:r>
      <w:r>
        <w:rPr>
          <w:i/>
          <w:iCs/>
        </w:rPr>
        <w:t>Children’s drawings (le dessin enfantin).</w:t>
      </w:r>
      <w:r>
        <w:t xml:space="preserve"> International Specialized Book Services.</w:t>
      </w:r>
    </w:p>
    <w:p w14:paraId="21C50145" w14:textId="77777777" w:rsidR="008B066F" w:rsidRDefault="00000000">
      <w:pPr>
        <w:pStyle w:val="Literaturverzeichnis"/>
      </w:pPr>
      <w:bookmarkStart w:id="98" w:name="ref-margiotoudi2020action"/>
      <w:bookmarkEnd w:id="97"/>
      <w:r>
        <w:t xml:space="preserve">Margiotoudi, K., &amp; Pulvermüller, F. (2020). Action sound–shape congruencies explain sound symbolism. </w:t>
      </w:r>
      <w:r>
        <w:rPr>
          <w:i/>
          <w:iCs/>
        </w:rPr>
        <w:t>Scientific Reports</w:t>
      </w:r>
      <w:r>
        <w:t xml:space="preserve">, </w:t>
      </w:r>
      <w:r>
        <w:rPr>
          <w:i/>
          <w:iCs/>
        </w:rPr>
        <w:t>10</w:t>
      </w:r>
      <w:r>
        <w:t>(1), 12706.</w:t>
      </w:r>
    </w:p>
    <w:p w14:paraId="1DCE7209" w14:textId="77777777" w:rsidR="008B066F" w:rsidRDefault="00000000">
      <w:pPr>
        <w:pStyle w:val="Literaturverzeichnis"/>
      </w:pPr>
      <w:bookmarkStart w:id="99" w:name="ref-maurer2006shape"/>
      <w:bookmarkEnd w:id="98"/>
      <w:r>
        <w:t xml:space="preserve">Maurer, D., Pathman, T., &amp; Mondloch, C. J. (2006). The shape of boubas: Sound–shape correspondences in toddlers and adults. </w:t>
      </w:r>
      <w:r>
        <w:rPr>
          <w:i/>
          <w:iCs/>
        </w:rPr>
        <w:t>Developmental Science</w:t>
      </w:r>
      <w:r>
        <w:t xml:space="preserve">, </w:t>
      </w:r>
      <w:r>
        <w:rPr>
          <w:i/>
          <w:iCs/>
        </w:rPr>
        <w:t>9</w:t>
      </w:r>
      <w:r>
        <w:t>(3), 316–322.</w:t>
      </w:r>
    </w:p>
    <w:p w14:paraId="13F97F11" w14:textId="77777777" w:rsidR="008B066F" w:rsidRDefault="00000000">
      <w:pPr>
        <w:pStyle w:val="Literaturverzeichnis"/>
      </w:pPr>
      <w:bookmarkStart w:id="100" w:name="ref-mcelreath2018statistical"/>
      <w:bookmarkEnd w:id="99"/>
      <w:r>
        <w:lastRenderedPageBreak/>
        <w:t xml:space="preserve">McElreath, R. (2018). </w:t>
      </w:r>
      <w:r>
        <w:rPr>
          <w:i/>
          <w:iCs/>
        </w:rPr>
        <w:t>Statistical rethinking: A bayesian course with examples in r and stan</w:t>
      </w:r>
      <w:r>
        <w:t>. Chapman; Hall/CRC.</w:t>
      </w:r>
    </w:p>
    <w:p w14:paraId="658C60B4" w14:textId="77777777" w:rsidR="008B066F" w:rsidRDefault="00000000">
      <w:pPr>
        <w:pStyle w:val="Literaturverzeichnis"/>
      </w:pPr>
      <w:bookmarkStart w:id="101" w:name="ref-mix2002quantitative"/>
      <w:bookmarkEnd w:id="100"/>
      <w:r>
        <w:t xml:space="preserve">Mix, K. S., Huttenlocher, J., &amp; Levine, S. C. (2002). </w:t>
      </w:r>
      <w:r>
        <w:rPr>
          <w:i/>
          <w:iCs/>
        </w:rPr>
        <w:t>Quantitative development in infancy and early childhood</w:t>
      </w:r>
      <w:r>
        <w:t>. Oxford University Press.</w:t>
      </w:r>
    </w:p>
    <w:p w14:paraId="5566B5B4" w14:textId="77777777" w:rsidR="008B066F" w:rsidRPr="005A2110" w:rsidRDefault="00000000">
      <w:pPr>
        <w:pStyle w:val="Literaturverzeichnis"/>
        <w:rPr>
          <w:lang w:val="fr-FR"/>
        </w:rPr>
      </w:pPr>
      <w:bookmarkStart w:id="102" w:name="ref-moore2013three"/>
      <w:bookmarkEnd w:id="101"/>
      <w:r>
        <w:t xml:space="preserve">Moore, R., Liebal, K., &amp; Tomasello, M. (2013). Three-year-olds understand communicative intentions without language, gestures, or gaze. </w:t>
      </w:r>
      <w:r w:rsidRPr="005A2110">
        <w:rPr>
          <w:i/>
          <w:iCs/>
          <w:lang w:val="fr-FR"/>
        </w:rPr>
        <w:t>Interaction Studies</w:t>
      </w:r>
      <w:r w:rsidRPr="005A2110">
        <w:rPr>
          <w:lang w:val="fr-FR"/>
        </w:rPr>
        <w:t xml:space="preserve">, </w:t>
      </w:r>
      <w:r w:rsidRPr="005A2110">
        <w:rPr>
          <w:i/>
          <w:iCs/>
          <w:lang w:val="fr-FR"/>
        </w:rPr>
        <w:t>14</w:t>
      </w:r>
      <w:r w:rsidRPr="005A2110">
        <w:rPr>
          <w:lang w:val="fr-FR"/>
        </w:rPr>
        <w:t>(1), 62–80.</w:t>
      </w:r>
    </w:p>
    <w:p w14:paraId="60558BD6" w14:textId="77777777" w:rsidR="008B066F" w:rsidRDefault="00000000">
      <w:pPr>
        <w:pStyle w:val="Literaturverzeichnis"/>
      </w:pPr>
      <w:bookmarkStart w:id="103" w:name="ref-nolle2020language"/>
      <w:bookmarkEnd w:id="102"/>
      <w:r w:rsidRPr="005A2110">
        <w:rPr>
          <w:lang w:val="fr-FR"/>
        </w:rPr>
        <w:t xml:space="preserve">Nölle, J., Fusaroli, R., Mills, G. J., &amp; Tylén, K. (2020). </w:t>
      </w:r>
      <w:r>
        <w:t xml:space="preserve">Language as shaped by the environment: Linguistic construal in a collaborative spatial task. </w:t>
      </w:r>
      <w:r>
        <w:rPr>
          <w:i/>
          <w:iCs/>
        </w:rPr>
        <w:t>Palgrave Communications</w:t>
      </w:r>
      <w:r>
        <w:t xml:space="preserve">, </w:t>
      </w:r>
      <w:r>
        <w:rPr>
          <w:i/>
          <w:iCs/>
        </w:rPr>
        <w:t>6</w:t>
      </w:r>
      <w:r>
        <w:t>(1), 1–10.</w:t>
      </w:r>
    </w:p>
    <w:p w14:paraId="4CE27B97" w14:textId="77777777" w:rsidR="008B066F" w:rsidRDefault="00000000">
      <w:pPr>
        <w:pStyle w:val="Literaturverzeichnis"/>
      </w:pPr>
      <w:bookmarkStart w:id="104" w:name="ref-olson1994world"/>
      <w:bookmarkEnd w:id="103"/>
      <w:r>
        <w:t xml:space="preserve">Olson, D. R. (1994). </w:t>
      </w:r>
      <w:r>
        <w:rPr>
          <w:i/>
          <w:iCs/>
        </w:rPr>
        <w:t>The world on paper: The conceptual and cognitive implications of writing and reading</w:t>
      </w:r>
      <w:r>
        <w:t>. Cambridge University Press.</w:t>
      </w:r>
    </w:p>
    <w:p w14:paraId="27AC2A72" w14:textId="77777777" w:rsidR="008B066F" w:rsidRDefault="00000000">
      <w:pPr>
        <w:pStyle w:val="Literaturverzeichnis"/>
      </w:pPr>
      <w:bookmarkStart w:id="105" w:name="ref-piaget1997mental"/>
      <w:bookmarkEnd w:id="104"/>
      <w:r>
        <w:t xml:space="preserve">Piaget, J., Inhelder, B., &amp; Bovet, M. (1997). </w:t>
      </w:r>
      <w:r>
        <w:rPr>
          <w:i/>
          <w:iCs/>
        </w:rPr>
        <w:t>Mental imagery in the child: A study of the development of imaginal representation</w:t>
      </w:r>
      <w:r>
        <w:t xml:space="preserve">. Routledge. Retrieved from </w:t>
      </w:r>
      <w:hyperlink r:id="rId22">
        <w:r>
          <w:rPr>
            <w:rStyle w:val="Hyperlink"/>
          </w:rPr>
          <w:t>https://books.google.de/books?id=BXrHqqUYu0QC</w:t>
        </w:r>
      </w:hyperlink>
    </w:p>
    <w:p w14:paraId="12E5220C" w14:textId="77777777" w:rsidR="008B066F" w:rsidRDefault="00000000">
      <w:pPr>
        <w:pStyle w:val="Literaturverzeichnis"/>
      </w:pPr>
      <w:bookmarkStart w:id="106" w:name="ref-rakoczy2022foundations"/>
      <w:bookmarkEnd w:id="105"/>
      <w:r>
        <w:t xml:space="preserve">Rakoczy, H. (2022). Foundations of theory of mind and its development in early childhood. </w:t>
      </w:r>
      <w:r>
        <w:rPr>
          <w:i/>
          <w:iCs/>
        </w:rPr>
        <w:t>Nature Reviews Psychology</w:t>
      </w:r>
      <w:r>
        <w:t xml:space="preserve">, </w:t>
      </w:r>
      <w:r>
        <w:rPr>
          <w:i/>
          <w:iCs/>
        </w:rPr>
        <w:t>1</w:t>
      </w:r>
      <w:r>
        <w:t>(4), 223–235.</w:t>
      </w:r>
    </w:p>
    <w:p w14:paraId="7B57D689" w14:textId="77777777" w:rsidR="008B066F" w:rsidRDefault="00000000">
      <w:pPr>
        <w:pStyle w:val="Literaturverzeichnis"/>
      </w:pPr>
      <w:bookmarkStart w:id="107" w:name="ref-rattermann1998more"/>
      <w:bookmarkEnd w:id="106"/>
      <w:r>
        <w:t xml:space="preserve">Rattermann, M. J., &amp; Gentner, D. (1998). More evidence for a relational shift in the development of analogy: Children’s performance on a causal-mapping task. </w:t>
      </w:r>
      <w:r>
        <w:rPr>
          <w:i/>
          <w:iCs/>
        </w:rPr>
        <w:t>Cognitive Development</w:t>
      </w:r>
      <w:r>
        <w:t xml:space="preserve">, </w:t>
      </w:r>
      <w:r>
        <w:rPr>
          <w:i/>
          <w:iCs/>
        </w:rPr>
        <w:t>13</w:t>
      </w:r>
      <w:r>
        <w:t>(4), 453–478.</w:t>
      </w:r>
    </w:p>
    <w:p w14:paraId="73CE3E1A" w14:textId="77777777" w:rsidR="008B066F" w:rsidRDefault="00000000">
      <w:pPr>
        <w:pStyle w:val="Literaturverzeichnis"/>
      </w:pPr>
      <w:bookmarkStart w:id="108" w:name="ref-raviv2018systematicity"/>
      <w:bookmarkEnd w:id="107"/>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p>
    <w:p w14:paraId="4A3160DC" w14:textId="77777777" w:rsidR="008B066F" w:rsidRDefault="00000000">
      <w:pPr>
        <w:pStyle w:val="Literaturverzeichnis"/>
      </w:pPr>
      <w:bookmarkStart w:id="109" w:name="ref-reilly2022developmental"/>
      <w:bookmarkEnd w:id="108"/>
      <w:r>
        <w:lastRenderedPageBreak/>
        <w:t xml:space="preserve">Reilly, S. E., Downer, J. T., &amp; Grimm, K. J. (2022). Developmental trajectories of executive functions from preschool to kindergarten. </w:t>
      </w:r>
      <w:r>
        <w:rPr>
          <w:i/>
          <w:iCs/>
        </w:rPr>
        <w:t>Developmental Science</w:t>
      </w:r>
      <w:r>
        <w:t xml:space="preserve">, </w:t>
      </w:r>
      <w:r>
        <w:rPr>
          <w:i/>
          <w:iCs/>
        </w:rPr>
        <w:t>25</w:t>
      </w:r>
      <w:r>
        <w:t>(5), e13236.</w:t>
      </w:r>
    </w:p>
    <w:p w14:paraId="635DA3AC" w14:textId="77777777" w:rsidR="008B066F" w:rsidRDefault="00000000">
      <w:pPr>
        <w:pStyle w:val="Literaturverzeichnis"/>
      </w:pPr>
      <w:bookmarkStart w:id="110" w:name="ref-richland2006children"/>
      <w:bookmarkEnd w:id="109"/>
      <w:r>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p>
    <w:p w14:paraId="1A5CEFD4" w14:textId="77777777" w:rsidR="008B066F" w:rsidRDefault="00000000">
      <w:pPr>
        <w:pStyle w:val="Literaturverzeichnis"/>
      </w:pPr>
      <w:bookmarkStart w:id="111" w:name="ref-schmidt2021fruhpadagogische"/>
      <w:bookmarkEnd w:id="110"/>
      <w:r>
        <w:t xml:space="preserve">Schmidt, T., Sauerbrey, U., &amp; Smidt, W. (2021). </w:t>
      </w:r>
      <w:r w:rsidRPr="005A2110">
        <w:rPr>
          <w:i/>
          <w:iCs/>
          <w:lang w:val="de-DE"/>
        </w:rPr>
        <w:t>Frühpädagogische handlungskonzepte: Eine wissenschaftliche bestandsaufnahme</w:t>
      </w:r>
      <w:r w:rsidRPr="005A2110">
        <w:rPr>
          <w:lang w:val="de-DE"/>
        </w:rPr>
        <w:t xml:space="preserve">. </w:t>
      </w:r>
      <w:r>
        <w:t>UTB.</w:t>
      </w:r>
    </w:p>
    <w:p w14:paraId="7A695288" w14:textId="77777777" w:rsidR="008B066F" w:rsidRDefault="00000000">
      <w:pPr>
        <w:pStyle w:val="Literaturverzeichnis"/>
      </w:pPr>
      <w:bookmarkStart w:id="112" w:name="ref-shepp1987development"/>
      <w:bookmarkEnd w:id="111"/>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p>
    <w:p w14:paraId="3590264A" w14:textId="77777777" w:rsidR="008B066F" w:rsidRDefault="00000000">
      <w:pPr>
        <w:pStyle w:val="Literaturverzeichnis"/>
      </w:pPr>
      <w:bookmarkStart w:id="113" w:name="ref-shivaram2023children"/>
      <w:bookmarkEnd w:id="112"/>
      <w:r>
        <w:t xml:space="preserve">Shivaram, A., Shao, R., Simms, N., Hespos, S., &amp; Gentner, D. (2023). When do children pass the relational-match-to-sample task? </w:t>
      </w:r>
      <w:r>
        <w:rPr>
          <w:i/>
          <w:iCs/>
        </w:rPr>
        <w:t>Proceedings of the Annual Meeting of the Cognitive Science Society</w:t>
      </w:r>
      <w:r>
        <w:t xml:space="preserve">, </w:t>
      </w:r>
      <w:r>
        <w:rPr>
          <w:i/>
          <w:iCs/>
        </w:rPr>
        <w:t>45</w:t>
      </w:r>
      <w:r>
        <w:t>.</w:t>
      </w:r>
    </w:p>
    <w:p w14:paraId="7619BA86" w14:textId="77777777" w:rsidR="008B066F" w:rsidRDefault="00000000">
      <w:pPr>
        <w:pStyle w:val="Literaturverzeichnis"/>
      </w:pPr>
      <w:bookmarkStart w:id="114" w:name="ref-shusterman2008young"/>
      <w:bookmarkEnd w:id="113"/>
      <w:r w:rsidRPr="005A2110">
        <w:rPr>
          <w:lang w:val="nl-NL"/>
        </w:rPr>
        <w:t xml:space="preserve">Shusterman, A., Ah Lee, S., &amp; Spelke, E. S. (2008). </w:t>
      </w:r>
      <w:r>
        <w:t xml:space="preserve">Young children’s spontaneous use of geometry in maps. </w:t>
      </w:r>
      <w:r>
        <w:rPr>
          <w:i/>
          <w:iCs/>
        </w:rPr>
        <w:t>Developmental Science</w:t>
      </w:r>
      <w:r>
        <w:t xml:space="preserve">, </w:t>
      </w:r>
      <w:r>
        <w:rPr>
          <w:i/>
          <w:iCs/>
        </w:rPr>
        <w:t>11</w:t>
      </w:r>
      <w:r>
        <w:t>(2), F1–F7.</w:t>
      </w:r>
    </w:p>
    <w:p w14:paraId="5415981F" w14:textId="77777777" w:rsidR="008B066F" w:rsidRDefault="00000000">
      <w:pPr>
        <w:pStyle w:val="Literaturverzeichnis"/>
      </w:pPr>
      <w:bookmarkStart w:id="115" w:name="ref-sidhu2025sound"/>
      <w:bookmarkEnd w:id="114"/>
      <w:r>
        <w:t xml:space="preserve">Sidhu, D. M. (2025). Sound symbolism in the lexicon: A review of iconic-systematicity. </w:t>
      </w:r>
      <w:r>
        <w:rPr>
          <w:i/>
          <w:iCs/>
        </w:rPr>
        <w:t>Language and Linguistics Compass</w:t>
      </w:r>
      <w:r>
        <w:t xml:space="preserve">, </w:t>
      </w:r>
      <w:r>
        <w:rPr>
          <w:i/>
          <w:iCs/>
        </w:rPr>
        <w:t>19</w:t>
      </w:r>
      <w:r>
        <w:t>(1), e70006.</w:t>
      </w:r>
    </w:p>
    <w:p w14:paraId="5B79B766" w14:textId="77777777" w:rsidR="008B066F" w:rsidRDefault="00000000">
      <w:pPr>
        <w:pStyle w:val="Literaturverzeichnis"/>
      </w:pPr>
      <w:bookmarkStart w:id="116" w:name="ref-silver2022environmental"/>
      <w:bookmarkEnd w:id="115"/>
      <w:r>
        <w:t xml:space="preserve">Silver, A. M., &amp; Libertus, M. E. (2022). Environmental influences on mathematics performance in early childhood. </w:t>
      </w:r>
      <w:r>
        <w:rPr>
          <w:i/>
          <w:iCs/>
        </w:rPr>
        <w:t>Nature Reviews Psychology</w:t>
      </w:r>
      <w:r>
        <w:t xml:space="preserve">, </w:t>
      </w:r>
      <w:r>
        <w:rPr>
          <w:i/>
          <w:iCs/>
        </w:rPr>
        <w:t>1</w:t>
      </w:r>
      <w:r>
        <w:t>(7), 407–418.</w:t>
      </w:r>
    </w:p>
    <w:p w14:paraId="677DB199" w14:textId="77777777" w:rsidR="008B066F" w:rsidRDefault="00000000">
      <w:pPr>
        <w:pStyle w:val="Literaturverzeichnis"/>
      </w:pPr>
      <w:bookmarkStart w:id="117" w:name="ref-simms2018working"/>
      <w:bookmarkEnd w:id="116"/>
      <w:r>
        <w:t xml:space="preserve">Simms, N. K., Frausel, R. R., &amp; Richland, L. E. (2018). Working memory predicts children’s analogical reasoning. </w:t>
      </w:r>
      <w:r>
        <w:rPr>
          <w:i/>
          <w:iCs/>
        </w:rPr>
        <w:t>Journal of Experimental Child Psychology</w:t>
      </w:r>
      <w:r>
        <w:t xml:space="preserve">, </w:t>
      </w:r>
      <w:r>
        <w:rPr>
          <w:i/>
          <w:iCs/>
        </w:rPr>
        <w:t>166</w:t>
      </w:r>
      <w:r>
        <w:t>, 160–177.</w:t>
      </w:r>
    </w:p>
    <w:p w14:paraId="5C1329D9" w14:textId="77777777" w:rsidR="008B066F" w:rsidRDefault="00000000">
      <w:pPr>
        <w:pStyle w:val="Literaturverzeichnis"/>
      </w:pPr>
      <w:bookmarkStart w:id="118" w:name="ref-sivula2020uncertainty"/>
      <w:bookmarkEnd w:id="117"/>
      <w:r>
        <w:lastRenderedPageBreak/>
        <w:t xml:space="preserve">Sivula, T., Magnusson, M., Matamoros, A. A., &amp; Vehtari, A. (2020). Uncertainty in bayesian leave-one-out cross-validation based model comparison. </w:t>
      </w:r>
      <w:r>
        <w:rPr>
          <w:i/>
          <w:iCs/>
        </w:rPr>
        <w:t>arXiv Preprint arXiv:2008.10296</w:t>
      </w:r>
      <w:r>
        <w:t>.</w:t>
      </w:r>
    </w:p>
    <w:p w14:paraId="66395FEB" w14:textId="77777777" w:rsidR="008B066F" w:rsidRDefault="00000000">
      <w:pPr>
        <w:pStyle w:val="Literaturverzeichnis"/>
      </w:pPr>
      <w:bookmarkStart w:id="119" w:name="ref-sodian2004infants"/>
      <w:bookmarkEnd w:id="118"/>
      <w:r>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42219E67" w14:textId="77777777" w:rsidR="008B066F" w:rsidRDefault="00000000">
      <w:pPr>
        <w:pStyle w:val="Literaturverzeichnis"/>
      </w:pPr>
      <w:bookmarkStart w:id="120" w:name="ref-RStan"/>
      <w:bookmarkEnd w:id="119"/>
      <w:r>
        <w:t xml:space="preserve">Stan Development Team. (n.d.). </w:t>
      </w:r>
      <w:r>
        <w:rPr>
          <w:i/>
          <w:iCs/>
        </w:rPr>
        <w:t>RStan: The R interface to Stan</w:t>
      </w:r>
      <w:r>
        <w:t xml:space="preserve">. Retrieved from </w:t>
      </w:r>
      <w:hyperlink r:id="rId23">
        <w:r>
          <w:rPr>
            <w:rStyle w:val="Hyperlink"/>
          </w:rPr>
          <w:t>https://mc-stan.org/</w:t>
        </w:r>
      </w:hyperlink>
    </w:p>
    <w:p w14:paraId="1EC69BB4" w14:textId="77777777" w:rsidR="008B066F" w:rsidRDefault="00000000">
      <w:pPr>
        <w:pStyle w:val="Literaturverzeichnis"/>
      </w:pPr>
      <w:bookmarkStart w:id="121" w:name="ref-starr2013number"/>
      <w:bookmarkEnd w:id="120"/>
      <w:r w:rsidRPr="005A2110">
        <w:rPr>
          <w:lang w:val="fr-FR"/>
        </w:rPr>
        <w:t xml:space="preserve">Starr, A., Libertus, M. E., &amp; Brannon, E. M. (2013). </w:t>
      </w:r>
      <w:r>
        <w:t xml:space="preserve">Number sense in infancy predicts mathematical abilities in childhood. </w:t>
      </w:r>
      <w:r>
        <w:rPr>
          <w:i/>
          <w:iCs/>
        </w:rPr>
        <w:t>Proceedings of the National Academy of Sciences</w:t>
      </w:r>
      <w:r>
        <w:t xml:space="preserve">, </w:t>
      </w:r>
      <w:r>
        <w:rPr>
          <w:i/>
          <w:iCs/>
        </w:rPr>
        <w:t>110</w:t>
      </w:r>
      <w:r>
        <w:t>(45), 18116–18120.</w:t>
      </w:r>
    </w:p>
    <w:p w14:paraId="44500A67" w14:textId="77777777" w:rsidR="008B066F" w:rsidRDefault="00000000">
      <w:pPr>
        <w:pStyle w:val="Literaturverzeichnis"/>
      </w:pPr>
      <w:bookmarkStart w:id="122" w:name="ref-stevenson2014visual"/>
      <w:bookmarkEnd w:id="121"/>
      <w:r>
        <w:t xml:space="preserve">Stevenson, C. E., Alberto, R. A., Boom, M. A. van den, &amp; Boeck, P. A. de. (2014). Visual relations children find easy and difficult to process in figural analogies. </w:t>
      </w:r>
      <w:r>
        <w:rPr>
          <w:i/>
          <w:iCs/>
        </w:rPr>
        <w:t>Frontiers in Psychology</w:t>
      </w:r>
      <w:r>
        <w:t xml:space="preserve">, </w:t>
      </w:r>
      <w:r>
        <w:rPr>
          <w:i/>
          <w:iCs/>
        </w:rPr>
        <w:t>5</w:t>
      </w:r>
      <w:r>
        <w:t>, 827.</w:t>
      </w:r>
    </w:p>
    <w:p w14:paraId="4DABEC3B" w14:textId="77777777" w:rsidR="008B066F" w:rsidRDefault="00000000">
      <w:pPr>
        <w:pStyle w:val="Literaturverzeichnis"/>
      </w:pPr>
      <w:bookmarkStart w:id="123" w:name="ref-thibaut2010development"/>
      <w:bookmarkEnd w:id="122"/>
      <w:r>
        <w:t xml:space="preserve">Thibaut, J.-P., French, R., &amp; Vezneva, M. (2010). The development of analogy making in children: Cognitive load and executive functions. </w:t>
      </w:r>
      <w:r>
        <w:rPr>
          <w:i/>
          <w:iCs/>
        </w:rPr>
        <w:t>Journal of Experimental Child Psychology</w:t>
      </w:r>
      <w:r>
        <w:t xml:space="preserve">, </w:t>
      </w:r>
      <w:r>
        <w:rPr>
          <w:i/>
          <w:iCs/>
        </w:rPr>
        <w:t>106</w:t>
      </w:r>
      <w:r>
        <w:t>(1), 1–19.</w:t>
      </w:r>
    </w:p>
    <w:p w14:paraId="579272F7" w14:textId="77777777" w:rsidR="008B066F" w:rsidRDefault="00000000">
      <w:pPr>
        <w:pStyle w:val="Literaturverzeichnis"/>
      </w:pPr>
      <w:bookmarkStart w:id="124" w:name="ref-tomasello2010origins"/>
      <w:bookmarkEnd w:id="123"/>
      <w:r>
        <w:t xml:space="preserve">Tomasello, M. (2010). </w:t>
      </w:r>
      <w:r>
        <w:rPr>
          <w:i/>
          <w:iCs/>
        </w:rPr>
        <w:t>Origins of human communication</w:t>
      </w:r>
      <w:r>
        <w:t>. MIT press.</w:t>
      </w:r>
    </w:p>
    <w:p w14:paraId="28515E46" w14:textId="77777777" w:rsidR="008B066F" w:rsidRDefault="00000000">
      <w:pPr>
        <w:pStyle w:val="Literaturverzeichnis"/>
      </w:pPr>
      <w:bookmarkStart w:id="125" w:name="ref-Tomasello2014natural"/>
      <w:bookmarkEnd w:id="124"/>
      <w:r>
        <w:t xml:space="preserve">Tomasello, M. (2014). </w:t>
      </w:r>
      <w:r>
        <w:rPr>
          <w:i/>
          <w:iCs/>
        </w:rPr>
        <w:t>A natural history of human thinking</w:t>
      </w:r>
      <w:r>
        <w:t>. Cambridge, Massachusetts; London, England: Harvard University Press.</w:t>
      </w:r>
    </w:p>
    <w:p w14:paraId="549A7686" w14:textId="77777777" w:rsidR="008B066F" w:rsidRDefault="00000000">
      <w:pPr>
        <w:pStyle w:val="Literaturverzeichnis"/>
      </w:pPr>
      <w:bookmarkStart w:id="126" w:name="ref-Tomasello1997comprehension"/>
      <w:bookmarkEnd w:id="125"/>
      <w:r>
        <w:t xml:space="preserve">Tomasello, M., Call, J., &amp; Gluckman, A. (1997). Comprehension of novel communicative signs by apes and human children. </w:t>
      </w:r>
      <w:r>
        <w:rPr>
          <w:i/>
          <w:iCs/>
        </w:rPr>
        <w:t>Child Development</w:t>
      </w:r>
      <w:r>
        <w:t xml:space="preserve">, </w:t>
      </w:r>
      <w:r>
        <w:rPr>
          <w:i/>
          <w:iCs/>
        </w:rPr>
        <w:t>68</w:t>
      </w:r>
      <w:r>
        <w:t>(6), 1067–1080.</w:t>
      </w:r>
    </w:p>
    <w:p w14:paraId="44C1DD61" w14:textId="77777777" w:rsidR="008B066F" w:rsidRDefault="00000000">
      <w:pPr>
        <w:pStyle w:val="Literaturverzeichnis"/>
      </w:pPr>
      <w:bookmarkStart w:id="127" w:name="ref-Tomasello2007new"/>
      <w:bookmarkEnd w:id="126"/>
      <w:r>
        <w:lastRenderedPageBreak/>
        <w:t xml:space="preserve">Tomasello, M., Carpenter, M., &amp; Liszkowski, U. (2007). A new look at infant pointing. </w:t>
      </w:r>
      <w:r>
        <w:rPr>
          <w:i/>
          <w:iCs/>
        </w:rPr>
        <w:t>Child Development</w:t>
      </w:r>
      <w:r>
        <w:t xml:space="preserve">, </w:t>
      </w:r>
      <w:r>
        <w:rPr>
          <w:i/>
          <w:iCs/>
        </w:rPr>
        <w:t>78</w:t>
      </w:r>
      <w:r>
        <w:t xml:space="preserve">(3), 705–722. </w:t>
      </w:r>
      <w:hyperlink r:id="rId24">
        <w:r>
          <w:rPr>
            <w:rStyle w:val="Hyperlink"/>
          </w:rPr>
          <w:t>https://doi.org/10.1111/j.1467-8624.2007.01025.x</w:t>
        </w:r>
      </w:hyperlink>
    </w:p>
    <w:p w14:paraId="5C569EE3" w14:textId="77777777" w:rsidR="008B066F" w:rsidRDefault="00000000">
      <w:pPr>
        <w:pStyle w:val="Literaturverzeichnis"/>
      </w:pPr>
      <w:bookmarkStart w:id="128" w:name="ref-Tomasello1999do"/>
      <w:bookmarkEnd w:id="127"/>
      <w:r>
        <w:t xml:space="preserve">Tomasello, M., Striano, T., &amp; Rochat, P. (1999). Do young children use objects as symbols? </w:t>
      </w:r>
      <w:r>
        <w:rPr>
          <w:i/>
          <w:iCs/>
        </w:rPr>
        <w:t>British Journal of Developmental Psychology</w:t>
      </w:r>
      <w:r>
        <w:t xml:space="preserve">, </w:t>
      </w:r>
      <w:r>
        <w:rPr>
          <w:i/>
          <w:iCs/>
        </w:rPr>
        <w:t>17</w:t>
      </w:r>
      <w:r>
        <w:t>(4), 563–584.</w:t>
      </w:r>
    </w:p>
    <w:p w14:paraId="021A63B4" w14:textId="77777777" w:rsidR="008B066F" w:rsidRDefault="00000000">
      <w:pPr>
        <w:pStyle w:val="Literaturverzeichnis"/>
      </w:pPr>
      <w:bookmarkStart w:id="129" w:name="ref-uttal1989young"/>
      <w:bookmarkEnd w:id="128"/>
      <w:r>
        <w:t xml:space="preserve">Uttal, D. H., &amp; Wellman, H. M. (1989). Young children’s representation of spatial information acquired from maps. </w:t>
      </w:r>
      <w:r>
        <w:rPr>
          <w:i/>
          <w:iCs/>
        </w:rPr>
        <w:t>Developmental Psychology</w:t>
      </w:r>
      <w:r>
        <w:t xml:space="preserve">, </w:t>
      </w:r>
      <w:r>
        <w:rPr>
          <w:i/>
          <w:iCs/>
        </w:rPr>
        <w:t>25</w:t>
      </w:r>
      <w:r>
        <w:t>(1), 128.</w:t>
      </w:r>
    </w:p>
    <w:p w14:paraId="496F9FD2" w14:textId="77777777" w:rsidR="008B066F" w:rsidRDefault="00000000">
      <w:pPr>
        <w:pStyle w:val="Literaturverzeichnis"/>
      </w:pPr>
      <w:bookmarkStart w:id="130" w:name="ref-valenza2006perceptual"/>
      <w:bookmarkEnd w:id="129"/>
      <w:r>
        <w:t xml:space="preserve">Valenza, E., Leo, I., Gava, L., &amp; Simion, F. (2006). Perceptual completion in newborn human infants. </w:t>
      </w:r>
      <w:r>
        <w:rPr>
          <w:i/>
          <w:iCs/>
        </w:rPr>
        <w:t>Child Development</w:t>
      </w:r>
      <w:r>
        <w:t xml:space="preserve">, </w:t>
      </w:r>
      <w:r>
        <w:rPr>
          <w:i/>
          <w:iCs/>
        </w:rPr>
        <w:t>77</w:t>
      </w:r>
      <w:r>
        <w:t>(6), 1810–1821.</w:t>
      </w:r>
    </w:p>
    <w:p w14:paraId="5A53144E" w14:textId="77777777" w:rsidR="008B066F" w:rsidRDefault="00000000">
      <w:pPr>
        <w:pStyle w:val="Literaturverzeichnis"/>
      </w:pPr>
      <w:bookmarkStart w:id="131" w:name="ref-verdine2017shape"/>
      <w:bookmarkEnd w:id="130"/>
      <w:r>
        <w:t xml:space="preserve">Verdine, B. N., Bunger, A., Athanasopoulou, A., Golinkoff, R. M., &amp; Hirsh-Pasek, K. (2017). Shape up: An eye-tracking study of preschoolers’ shape name processing and spatial development. </w:t>
      </w:r>
      <w:r>
        <w:rPr>
          <w:i/>
          <w:iCs/>
        </w:rPr>
        <w:t>Developmental Psychology</w:t>
      </w:r>
      <w:r>
        <w:t xml:space="preserve">, </w:t>
      </w:r>
      <w:r>
        <w:rPr>
          <w:i/>
          <w:iCs/>
        </w:rPr>
        <w:t>53</w:t>
      </w:r>
      <w:r>
        <w:t>(10), 1869.</w:t>
      </w:r>
    </w:p>
    <w:p w14:paraId="403EDD16" w14:textId="77777777" w:rsidR="008B066F" w:rsidRDefault="00000000">
      <w:pPr>
        <w:pStyle w:val="Literaturverzeichnis"/>
      </w:pPr>
      <w:bookmarkStart w:id="132" w:name="ref-verdine2016shape"/>
      <w:bookmarkEnd w:id="131"/>
      <w:r>
        <w:t xml:space="preserve">Verdine, B. N., Lucca, K. R., Golinkoff, R. M., Hirsh-Pasek, K., &amp; Newcombe, N. S. (2016). The shape of things: The origin of young children’s knowledge of the names and properties of geometric forms. </w:t>
      </w:r>
      <w:r>
        <w:rPr>
          <w:i/>
          <w:iCs/>
        </w:rPr>
        <w:t>Journal of Cognition and Development</w:t>
      </w:r>
      <w:r>
        <w:t xml:space="preserve">, </w:t>
      </w:r>
      <w:r>
        <w:rPr>
          <w:i/>
          <w:iCs/>
        </w:rPr>
        <w:t>17</w:t>
      </w:r>
      <w:r>
        <w:t>(1), 142–161.</w:t>
      </w:r>
    </w:p>
    <w:p w14:paraId="46B46C49" w14:textId="77777777" w:rsidR="008B066F" w:rsidRDefault="00000000">
      <w:pPr>
        <w:pStyle w:val="Literaturverzeichnis"/>
      </w:pPr>
      <w:bookmarkStart w:id="133" w:name="ref-Vygotsky1980mind"/>
      <w:bookmarkEnd w:id="132"/>
      <w:r>
        <w:t xml:space="preserve">Vygotsky, L. S. (1980). </w:t>
      </w:r>
      <w:r>
        <w:rPr>
          <w:i/>
          <w:iCs/>
        </w:rPr>
        <w:t>Mind in society: The development of higher psychological processes</w:t>
      </w:r>
      <w:r>
        <w:t>. Cambridge, MA: Harvard University Press.</w:t>
      </w:r>
    </w:p>
    <w:p w14:paraId="12AAF773" w14:textId="77777777" w:rsidR="008B066F" w:rsidRDefault="00000000">
      <w:pPr>
        <w:pStyle w:val="Literaturverzeichnis"/>
      </w:pPr>
      <w:bookmarkStart w:id="134" w:name="ref-wellman2001meta"/>
      <w:bookmarkEnd w:id="133"/>
      <w:r>
        <w:t xml:space="preserve">Wellman, H., Cross, D., &amp; Watson, J. (2001). Meta-analysis of theory-of-mind development: The truth about false belief. </w:t>
      </w:r>
      <w:r>
        <w:rPr>
          <w:i/>
          <w:iCs/>
        </w:rPr>
        <w:t>Child Development</w:t>
      </w:r>
      <w:r>
        <w:t xml:space="preserve">, </w:t>
      </w:r>
      <w:r>
        <w:rPr>
          <w:i/>
          <w:iCs/>
        </w:rPr>
        <w:t>72</w:t>
      </w:r>
      <w:r>
        <w:t>(3), 655–684.</w:t>
      </w:r>
    </w:p>
    <w:p w14:paraId="43E3C2D4" w14:textId="77777777" w:rsidR="008B066F" w:rsidRDefault="00000000">
      <w:pPr>
        <w:pStyle w:val="Literaturverzeichnis"/>
      </w:pPr>
      <w:bookmarkStart w:id="135" w:name="ref-willoughby2012executive"/>
      <w:bookmarkEnd w:id="134"/>
      <w:r>
        <w:t xml:space="preserve">Willoughby, M. T., Wirth, R., &amp; Blair, C. B. (2012). Executive function in early childhood: Longitudinal measurement invariance and developmental change. </w:t>
      </w:r>
      <w:r>
        <w:rPr>
          <w:i/>
          <w:iCs/>
        </w:rPr>
        <w:t>Psychological Assessment</w:t>
      </w:r>
      <w:r>
        <w:t xml:space="preserve">, </w:t>
      </w:r>
      <w:r>
        <w:rPr>
          <w:i/>
          <w:iCs/>
        </w:rPr>
        <w:t>24</w:t>
      </w:r>
      <w:r>
        <w:t>(2), 418.</w:t>
      </w:r>
    </w:p>
    <w:p w14:paraId="13B626DF" w14:textId="77777777" w:rsidR="008B066F" w:rsidRDefault="00000000">
      <w:pPr>
        <w:pStyle w:val="Literaturverzeichnis"/>
      </w:pPr>
      <w:bookmarkStart w:id="136" w:name="ref-winter2026defining"/>
      <w:bookmarkEnd w:id="135"/>
      <w:r>
        <w:lastRenderedPageBreak/>
        <w:t xml:space="preserve">Winter, B., Woodin, G., &amp; Perlman, M. (2026). Defining iconicity for the cognitive sciences. In </w:t>
      </w:r>
      <w:r>
        <w:rPr>
          <w:i/>
          <w:iCs/>
        </w:rPr>
        <w:t>The oxford handbook of iconicity in language</w:t>
      </w:r>
      <w:r>
        <w:t xml:space="preserve">. Oxford University Press. </w:t>
      </w:r>
      <w:hyperlink r:id="rId25">
        <w:r>
          <w:rPr>
            <w:rStyle w:val="Hyperlink"/>
          </w:rPr>
          <w:t>https://doi.org/10.1093/oxfordhb/9780192849489.013.0012</w:t>
        </w:r>
      </w:hyperlink>
    </w:p>
    <w:p w14:paraId="4DFDE30C" w14:textId="77777777" w:rsidR="008B066F" w:rsidRDefault="00000000">
      <w:pPr>
        <w:pStyle w:val="Literaturverzeichnis"/>
      </w:pPr>
      <w:bookmarkStart w:id="137" w:name="ref-wynn1990children"/>
      <w:bookmarkEnd w:id="136"/>
      <w:r>
        <w:t xml:space="preserve">Wynn, K. (1990). Children’s understanding of counting. </w:t>
      </w:r>
      <w:r>
        <w:rPr>
          <w:i/>
          <w:iCs/>
        </w:rPr>
        <w:t>Cognition</w:t>
      </w:r>
      <w:r>
        <w:t xml:space="preserve">, </w:t>
      </w:r>
      <w:r>
        <w:rPr>
          <w:i/>
          <w:iCs/>
        </w:rPr>
        <w:t>36</w:t>
      </w:r>
      <w:r>
        <w:t>(2), 155–193.</w:t>
      </w:r>
    </w:p>
    <w:p w14:paraId="1FFC1961" w14:textId="77777777" w:rsidR="008B066F" w:rsidRDefault="00000000">
      <w:pPr>
        <w:pStyle w:val="Literaturverzeichnis"/>
      </w:pPr>
      <w:bookmarkStart w:id="138" w:name="ref-xu2007number"/>
      <w:bookmarkEnd w:id="137"/>
      <w:r>
        <w:t xml:space="preserve">Xu, F., &amp; Arriaga, R. I. (2007). Number discrimination in 10-month-old infants. </w:t>
      </w:r>
      <w:r>
        <w:rPr>
          <w:i/>
          <w:iCs/>
        </w:rPr>
        <w:t>British Journal of Developmental Psychology</w:t>
      </w:r>
      <w:r>
        <w:t xml:space="preserve">, </w:t>
      </w:r>
      <w:r>
        <w:rPr>
          <w:i/>
          <w:iCs/>
        </w:rPr>
        <w:t>25</w:t>
      </w:r>
      <w:r>
        <w:t>(1), 103–108.</w:t>
      </w:r>
    </w:p>
    <w:p w14:paraId="256665CC" w14:textId="77777777" w:rsidR="008B066F" w:rsidRDefault="00000000">
      <w:pPr>
        <w:pStyle w:val="Literaturverzeichnis"/>
      </w:pPr>
      <w:bookmarkStart w:id="139" w:name="ref-ZAMBRZYCKA2017144"/>
      <w:bookmarkEnd w:id="138"/>
      <w:r>
        <w:t xml:space="preserve">Zambrzycka, J., Kotsopoulos, D., Lee, J., &amp; Makosz, S. (2017). In any way, shape, or form? Toddlers’ understanding of shapes. </w:t>
      </w:r>
      <w:r>
        <w:rPr>
          <w:i/>
          <w:iCs/>
        </w:rPr>
        <w:t>Infant Behavior and Development</w:t>
      </w:r>
      <w:r>
        <w:t xml:space="preserve">, </w:t>
      </w:r>
      <w:r>
        <w:rPr>
          <w:i/>
          <w:iCs/>
        </w:rPr>
        <w:t>46</w:t>
      </w:r>
      <w:r>
        <w:t>, 144–157. https://doi.org/</w:t>
      </w:r>
      <w:hyperlink r:id="rId26">
        <w:r>
          <w:rPr>
            <w:rStyle w:val="Hyperlink"/>
          </w:rPr>
          <w:t>https://doi.org/10.1016/j.infbeh.2016.12.002</w:t>
        </w:r>
      </w:hyperlink>
    </w:p>
    <w:p w14:paraId="645C087E" w14:textId="77777777" w:rsidR="008B066F" w:rsidRDefault="00000000">
      <w:pPr>
        <w:pStyle w:val="Literaturverzeichnis"/>
      </w:pPr>
      <w:bookmarkStart w:id="140" w:name="ref-yinyuan2022a"/>
      <w:bookmarkEnd w:id="139"/>
      <w:r w:rsidRPr="005A2110">
        <w:rPr>
          <w:lang w:val="de-DE"/>
        </w:rPr>
        <w:t xml:space="preserve">Zheng, Y., Matlen, B. J., &amp; Gentner, D. (2022). </w:t>
      </w:r>
      <w:r>
        <w:t xml:space="preserve">Spatial alignment facilitates visual comparison in children. </w:t>
      </w:r>
      <w:r>
        <w:rPr>
          <w:i/>
          <w:iCs/>
        </w:rPr>
        <w:t>Annual Meeting of the Cognitive Science Society</w:t>
      </w:r>
      <w:r>
        <w:t>.</w:t>
      </w:r>
      <w:bookmarkEnd w:id="27"/>
      <w:bookmarkEnd w:id="29"/>
      <w:bookmarkEnd w:id="140"/>
    </w:p>
    <w:sectPr w:rsidR="008B066F" w:rsidSect="00084144">
      <w:headerReference w:type="even" r:id="rId27"/>
      <w:headerReference w:type="default" r:id="rId28"/>
      <w:headerReference w:type="first" r:id="rId29"/>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B07B" w14:textId="77777777" w:rsidR="003B6156" w:rsidRDefault="003B6156">
      <w:pPr>
        <w:spacing w:before="0" w:after="0" w:line="240" w:lineRule="auto"/>
      </w:pPr>
      <w:r>
        <w:separator/>
      </w:r>
    </w:p>
  </w:endnote>
  <w:endnote w:type="continuationSeparator" w:id="0">
    <w:p w14:paraId="2270DCEE" w14:textId="77777777" w:rsidR="003B6156" w:rsidRDefault="003B61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445C" w14:textId="77777777" w:rsidR="003B6156" w:rsidRDefault="003B6156">
      <w:pPr>
        <w:spacing w:before="0" w:after="0" w:line="240" w:lineRule="auto"/>
      </w:pPr>
      <w:r>
        <w:separator/>
      </w:r>
    </w:p>
  </w:footnote>
  <w:footnote w:type="continuationSeparator" w:id="0">
    <w:p w14:paraId="495472EE" w14:textId="77777777" w:rsidR="003B6156" w:rsidRDefault="003B61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678C4495"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B2FFAEC"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59E0CE2F"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052B8F8" w14:textId="77777777" w:rsidR="00000000"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1E374F72"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AEF8CE6" w14:textId="77777777" w:rsidR="0000000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30554083">
    <w:abstractNumId w:val="13"/>
  </w:num>
  <w:num w:numId="2" w16cid:durableId="419061546">
    <w:abstractNumId w:val="13"/>
  </w:num>
  <w:num w:numId="3" w16cid:durableId="229507690">
    <w:abstractNumId w:val="14"/>
  </w:num>
  <w:num w:numId="4" w16cid:durableId="2083141827">
    <w:abstractNumId w:val="1"/>
  </w:num>
  <w:num w:numId="5" w16cid:durableId="1963918655">
    <w:abstractNumId w:val="2"/>
  </w:num>
  <w:num w:numId="6" w16cid:durableId="1934050711">
    <w:abstractNumId w:val="3"/>
  </w:num>
  <w:num w:numId="7" w16cid:durableId="1109663744">
    <w:abstractNumId w:val="4"/>
  </w:num>
  <w:num w:numId="8" w16cid:durableId="379599894">
    <w:abstractNumId w:val="9"/>
  </w:num>
  <w:num w:numId="9" w16cid:durableId="546068797">
    <w:abstractNumId w:val="5"/>
  </w:num>
  <w:num w:numId="10" w16cid:durableId="1156218161">
    <w:abstractNumId w:val="6"/>
  </w:num>
  <w:num w:numId="11" w16cid:durableId="675110750">
    <w:abstractNumId w:val="7"/>
  </w:num>
  <w:num w:numId="12" w16cid:durableId="109974506">
    <w:abstractNumId w:val="8"/>
  </w:num>
  <w:num w:numId="13" w16cid:durableId="147790776">
    <w:abstractNumId w:val="10"/>
  </w:num>
  <w:num w:numId="14" w16cid:durableId="1634603475">
    <w:abstractNumId w:val="14"/>
  </w:num>
  <w:num w:numId="15" w16cid:durableId="205684008">
    <w:abstractNumId w:val="0"/>
  </w:num>
  <w:num w:numId="16" w16cid:durableId="2127961285">
    <w:abstractNumId w:val="0"/>
  </w:num>
  <w:num w:numId="17" w16cid:durableId="2025546912">
    <w:abstractNumId w:val="11"/>
  </w:num>
  <w:num w:numId="18" w16cid:durableId="1768849098">
    <w:abstractNumId w:val="12"/>
  </w:num>
  <w:num w:numId="19" w16cid:durableId="1068504761">
    <w:abstractNumId w:val="11"/>
  </w:num>
  <w:num w:numId="20" w16cid:durableId="96948365">
    <w:abstractNumId w:val="12"/>
  </w:num>
  <w:num w:numId="21" w16cid:durableId="1294362945">
    <w:abstractNumId w:val="11"/>
  </w:num>
  <w:num w:numId="22" w16cid:durableId="1929464674">
    <w:abstractNumId w:val="12"/>
  </w:num>
  <w:num w:numId="23" w16cid:durableId="1912693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B6156"/>
    <w:rsid w:val="003D44B0"/>
    <w:rsid w:val="00435F1A"/>
    <w:rsid w:val="00472128"/>
    <w:rsid w:val="00490F5C"/>
    <w:rsid w:val="00506818"/>
    <w:rsid w:val="005A2110"/>
    <w:rsid w:val="005A55BB"/>
    <w:rsid w:val="006373B0"/>
    <w:rsid w:val="00693388"/>
    <w:rsid w:val="006E6812"/>
    <w:rsid w:val="00871062"/>
    <w:rsid w:val="008B066F"/>
    <w:rsid w:val="009E05DE"/>
    <w:rsid w:val="00BF4B6B"/>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2899"/>
  <w15:docId w15:val="{E4ECD28C-F08B-4364-9855-10BA1E97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redicted.org/SJT_H7F" TargetMode="External"/><Relationship Id="rId13" Type="http://schemas.openxmlformats.org/officeDocument/2006/relationships/hyperlink" Target="https://aspredicted.org/DR4_B4B" TargetMode="External"/><Relationship Id="rId18" Type="http://schemas.openxmlformats.org/officeDocument/2006/relationships/image" Target="media/image4.png"/><Relationship Id="rId26" Type="http://schemas.openxmlformats.org/officeDocument/2006/relationships/hyperlink" Target="https://doi.org/10.1016/j.infbeh.2016.12.002" TargetMode="External"/><Relationship Id="rId3" Type="http://schemas.openxmlformats.org/officeDocument/2006/relationships/settings" Target="settings.xml"/><Relationship Id="rId21" Type="http://schemas.openxmlformats.org/officeDocument/2006/relationships/hyperlink" Target="https://doi.org/10.1111/j.1467-7687.2009.00862.x" TargetMode="External"/><Relationship Id="rId7" Type="http://schemas.openxmlformats.org/officeDocument/2006/relationships/hyperlink" Target="https://github.com/GregorKachel/symlit_rep_manuscript" TargetMode="External"/><Relationship Id="rId12" Type="http://schemas.openxmlformats.org/officeDocument/2006/relationships/hyperlink" Target="https://aspredicted.org/DR4_B4B" TargetMode="External"/><Relationship Id="rId17" Type="http://schemas.openxmlformats.org/officeDocument/2006/relationships/image" Target="media/image3.png"/><Relationship Id="rId25" Type="http://schemas.openxmlformats.org/officeDocument/2006/relationships/hyperlink" Target="https://doi.org/10.1093/oxfordhb/9780192849489.013.0012"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doi.org/10.1080/15248370701836592"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predicted.org/L2H_XC7" TargetMode="External"/><Relationship Id="rId24" Type="http://schemas.openxmlformats.org/officeDocument/2006/relationships/hyperlink" Target="https://doi.org/10.1111/j.1467-8624.2007.01025.x"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mc-stan.org/" TargetMode="External"/><Relationship Id="rId28" Type="http://schemas.openxmlformats.org/officeDocument/2006/relationships/header" Target="header2.xml"/><Relationship Id="rId10" Type="http://schemas.openxmlformats.org/officeDocument/2006/relationships/hyperlink" Target="https://aspredicted.org/L2H_XC7" TargetMode="External"/><Relationship Id="rId19" Type="http://schemas.openxmlformats.org/officeDocument/2006/relationships/hyperlink" Target="https://doi.org/10.1002/9781118963418.childpsy20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spredicted.org/SJT_H7F" TargetMode="External"/><Relationship Id="rId14" Type="http://schemas.openxmlformats.org/officeDocument/2006/relationships/hyperlink" Target="https://github.com/GregorKachel/symlit_rep_manuscript" TargetMode="External"/><Relationship Id="rId22" Type="http://schemas.openxmlformats.org/officeDocument/2006/relationships/hyperlink" Target="https://books.google.de/books?id=BXrHqqUYu0QC"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11904</Words>
  <Characters>74999</Characters>
  <Application>Microsoft Office Word</Application>
  <DocSecurity>0</DocSecurity>
  <Lines>624</Lines>
  <Paragraphs>173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86730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2</cp:revision>
  <dcterms:created xsi:type="dcterms:W3CDTF">2026-04-17T08:23:00Z</dcterms:created>
  <dcterms:modified xsi:type="dcterms:W3CDTF">2026-04-17T08:27:00Z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C:\Users\Kachel.IPE-KACHEL-N\AppData\Local\R\win-library\4.5\papaja\rmd\apa6.csl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