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sz w:val="16"/>
          <w:szCs w:val="16"/>
        </w:rPr>
      </w:pPr>
      <w:r w:rsidDel="00000000" w:rsidR="00000000" w:rsidRPr="00000000">
        <w:rPr>
          <w:sz w:val="16"/>
          <w:szCs w:val="16"/>
          <w:rtl w:val="0"/>
        </w:rPr>
        <w:t xml:space="preserve">Gregor Kachel</w:t>
      </w:r>
    </w:p>
    <w:p w:rsidR="00000000" w:rsidDel="00000000" w:rsidP="00000000" w:rsidRDefault="00000000" w:rsidRPr="00000000" w14:paraId="00000002">
      <w:pPr>
        <w:jc w:val="right"/>
        <w:rPr>
          <w:sz w:val="16"/>
          <w:szCs w:val="16"/>
        </w:rPr>
      </w:pPr>
      <w:r w:rsidDel="00000000" w:rsidR="00000000" w:rsidRPr="00000000">
        <w:rPr>
          <w:sz w:val="16"/>
          <w:szCs w:val="16"/>
          <w:rtl w:val="0"/>
        </w:rPr>
        <w:t xml:space="preserve">Leuphana University</w:t>
      </w:r>
    </w:p>
    <w:p w:rsidR="00000000" w:rsidDel="00000000" w:rsidP="00000000" w:rsidRDefault="00000000" w:rsidRPr="00000000" w14:paraId="00000003">
      <w:pPr>
        <w:jc w:val="right"/>
        <w:rPr>
          <w:sz w:val="16"/>
          <w:szCs w:val="16"/>
        </w:rPr>
      </w:pPr>
      <w:r w:rsidDel="00000000" w:rsidR="00000000" w:rsidRPr="00000000">
        <w:rPr>
          <w:rtl w:val="0"/>
        </w:rPr>
      </w:r>
    </w:p>
    <w:p w:rsidR="00000000" w:rsidDel="00000000" w:rsidP="00000000" w:rsidRDefault="00000000" w:rsidRPr="00000000" w14:paraId="00000004">
      <w:pPr>
        <w:jc w:val="right"/>
        <w:rPr>
          <w:sz w:val="16"/>
          <w:szCs w:val="16"/>
        </w:rPr>
      </w:pPr>
      <w:r w:rsidDel="00000000" w:rsidR="00000000" w:rsidRPr="00000000">
        <w:rPr>
          <w:sz w:val="16"/>
          <w:szCs w:val="16"/>
          <w:rtl w:val="0"/>
        </w:rPr>
        <w:t xml:space="preserve">Daniel Haun</w:t>
      </w:r>
    </w:p>
    <w:p w:rsidR="00000000" w:rsidDel="00000000" w:rsidP="00000000" w:rsidRDefault="00000000" w:rsidRPr="00000000" w14:paraId="00000005">
      <w:pPr>
        <w:jc w:val="right"/>
        <w:rPr>
          <w:sz w:val="16"/>
          <w:szCs w:val="16"/>
        </w:rPr>
      </w:pPr>
      <w:r w:rsidDel="00000000" w:rsidR="00000000" w:rsidRPr="00000000">
        <w:rPr>
          <w:sz w:val="16"/>
          <w:szCs w:val="16"/>
          <w:rtl w:val="0"/>
        </w:rPr>
        <w:t xml:space="preserve">MPI for Evolutionary Anthropology</w:t>
      </w:r>
    </w:p>
    <w:p w:rsidR="00000000" w:rsidDel="00000000" w:rsidP="00000000" w:rsidRDefault="00000000" w:rsidRPr="00000000" w14:paraId="00000006">
      <w:pPr>
        <w:jc w:val="right"/>
        <w:rPr>
          <w:sz w:val="16"/>
          <w:szCs w:val="16"/>
        </w:rPr>
      </w:pPr>
      <w:r w:rsidDel="00000000" w:rsidR="00000000" w:rsidRPr="00000000">
        <w:rPr>
          <w:rtl w:val="0"/>
        </w:rPr>
      </w:r>
    </w:p>
    <w:p w:rsidR="00000000" w:rsidDel="00000000" w:rsidP="00000000" w:rsidRDefault="00000000" w:rsidRPr="00000000" w14:paraId="00000007">
      <w:pPr>
        <w:jc w:val="right"/>
        <w:rPr>
          <w:sz w:val="16"/>
          <w:szCs w:val="16"/>
        </w:rPr>
      </w:pPr>
      <w:r w:rsidDel="00000000" w:rsidR="00000000" w:rsidRPr="00000000">
        <w:rPr>
          <w:sz w:val="16"/>
          <w:szCs w:val="16"/>
          <w:rtl w:val="0"/>
        </w:rPr>
        <w:t xml:space="preserve">Manuel Bohn</w:t>
      </w:r>
    </w:p>
    <w:p w:rsidR="00000000" w:rsidDel="00000000" w:rsidP="00000000" w:rsidRDefault="00000000" w:rsidRPr="00000000" w14:paraId="00000008">
      <w:pPr>
        <w:jc w:val="right"/>
        <w:rPr>
          <w:sz w:val="16"/>
          <w:szCs w:val="16"/>
        </w:rPr>
      </w:pPr>
      <w:r w:rsidDel="00000000" w:rsidR="00000000" w:rsidRPr="00000000">
        <w:rPr>
          <w:sz w:val="16"/>
          <w:szCs w:val="16"/>
          <w:rtl w:val="0"/>
        </w:rPr>
        <w:t xml:space="preserve">Leuphana University</w:t>
      </w:r>
    </w:p>
    <w:p w:rsidR="00000000" w:rsidDel="00000000" w:rsidP="00000000" w:rsidRDefault="00000000" w:rsidRPr="00000000" w14:paraId="00000009">
      <w:pPr>
        <w:rPr/>
      </w:pPr>
      <w:r w:rsidDel="00000000" w:rsidR="00000000" w:rsidRPr="00000000">
        <w:rPr>
          <w:rtl w:val="0"/>
        </w:rPr>
        <w:t xml:space="preserve">Dear Prof. Dr. Cooper</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t xml:space="preserve">Dear Prof. Dr. Winsler,</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jc w:val="both"/>
        <w:rPr/>
      </w:pPr>
      <w:r w:rsidDel="00000000" w:rsidR="00000000" w:rsidRPr="00000000">
        <w:rPr>
          <w:rtl w:val="0"/>
        </w:rPr>
        <w:t xml:space="preserve">We are pleased to submit our manuscript </w:t>
      </w:r>
      <w:r w:rsidDel="00000000" w:rsidR="00000000" w:rsidRPr="00000000">
        <w:rPr>
          <w:i w:val="1"/>
          <w:iCs w:val="1"/>
          <w:rtl w:val="0"/>
        </w:rPr>
        <w:t xml:space="preserve">Young Children’s Spontaneous Comprehension of Symbol-Referent Relationships in the Graphic Domain</w:t>
      </w:r>
      <w:r w:rsidDel="00000000" w:rsidR="00000000" w:rsidRPr="00000000">
        <w:rPr>
          <w:rtl w:val="0"/>
        </w:rPr>
        <w:t xml:space="preserve"> as an empirical article for publication in Child Development. </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Our manuscript reports a three-study research project tracing young children’s ability to spontaneously comprehend unfamiliar graphic symbols in an object-choice task across a wide variety of symbol-referent relationships. In three separate studies with four conditions each, we collected data of two children per month of age continuously from the third to the seventh birthday for a final sample of 304 children (Study 1, N = 106; Study 2, N = 99; Study 3, N = 99). Using Bayesian GLMMs, we are able to determine the month of age at which children as a group perform above chance with each symbol-referent relationship. Across the various conditions, symbolic reference is established via representation, a part-whole relationship, analogies in size, number and shape but also gestalt-like principles like figure-ground relationships, orientation and alignment. While children are able to use direct representations to identify the correct target item already prior to their third birthday, group-level success in all other conditions was observed later: for symbol-referent relationships that are more strongly based in visual similarity, children succeed prior to their fourth birthday (conditions: pars pro toto: 38 months; position: 43 months; orientation: 46 months). Success with more conceptual symbol-referent relationships then occurs in the fifth year (form analogy: 48 months, size: 50 months; number: 51 months). While previous work on graphic communication has focused almost exclusively on iconicity as a way of creating meaning and compared performance across binned age-groups, the three studies presented here map development continuously using a highly simple and streamlined procedure across various conceptual dimensions. Taken together, our work provides one of the most comprehensive, robust and systematic investigations of young children’s ability to find meaning in unfamiliar graphic symbols and may provide a benchmark data set for the development of preschoolers symbolic competence or inform the design of pedagogical materials. As such, the manuscript should be of great interest for the broad readership of Child Development.</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The work we present in our manuscript is original and has neither been published nor submitted for consideration elsewhere. All authors listed above made meaningful contributions and reviewed the manuscript. The study confirms with recognized standards (e.g. Declaration of Helsinki) and was approved by an internal ethics committee at the Max Planck Institute for Evolutionary Anthropology, Leipzig, Germany.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Thank you for considering this manuscript.</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Sincerely, Dr. Gregor Kachel (corresponding author)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