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D3BFB" w14:textId="4E5FDB93" w:rsidR="00DA7784" w:rsidRDefault="00DA7784">
      <w:pPr>
        <w:rPr>
          <w:lang w:val="en-US"/>
        </w:rPr>
      </w:pPr>
      <w:r>
        <w:rPr>
          <w:lang w:val="en-US"/>
        </w:rPr>
        <w:t>Lay Summary</w:t>
      </w:r>
    </w:p>
    <w:p w14:paraId="632E41F4" w14:textId="2780B6B0" w:rsidR="008B5006" w:rsidRDefault="00A55789">
      <w:pPr>
        <w:rPr>
          <w:lang w:val="en-US"/>
        </w:rPr>
      </w:pPr>
      <w:r w:rsidRPr="00A55789">
        <w:rPr>
          <w:lang w:val="en-US"/>
        </w:rPr>
        <w:t xml:space="preserve">Young children are skilled at understanding spoken language and gestures, but much less is known about how they make sense of drawings or other visual symbols. We explored how children aged 3 to 7 interpret unfamiliar graphic symbols in a game where they had to choose </w:t>
      </w:r>
      <w:r w:rsidR="00DF0CBD">
        <w:rPr>
          <w:lang w:val="en-US"/>
        </w:rPr>
        <w:t>an</w:t>
      </w:r>
      <w:r w:rsidRPr="00A55789">
        <w:rPr>
          <w:lang w:val="en-US"/>
        </w:rPr>
        <w:t xml:space="preserve"> object based on a drawing</w:t>
      </w:r>
      <w:r w:rsidR="00DF0CBD">
        <w:rPr>
          <w:lang w:val="en-US"/>
        </w:rPr>
        <w:t xml:space="preserve"> referring to it</w:t>
      </w:r>
      <w:r w:rsidRPr="00A55789">
        <w:rPr>
          <w:lang w:val="en-US"/>
        </w:rPr>
        <w:t xml:space="preserve">. Across three studies, we tested </w:t>
      </w:r>
      <w:r w:rsidR="00DF0CBD">
        <w:rPr>
          <w:lang w:val="en-US"/>
        </w:rPr>
        <w:t>various</w:t>
      </w:r>
      <w:r w:rsidRPr="00A55789">
        <w:rPr>
          <w:lang w:val="en-US"/>
        </w:rPr>
        <w:t xml:space="preserve"> symbol–object relationships, from </w:t>
      </w:r>
      <w:r w:rsidR="00DF0CBD">
        <w:rPr>
          <w:lang w:val="en-US"/>
        </w:rPr>
        <w:t>direct representations</w:t>
      </w:r>
      <w:r w:rsidRPr="00A55789">
        <w:rPr>
          <w:lang w:val="en-US"/>
        </w:rPr>
        <w:t xml:space="preserve"> to </w:t>
      </w:r>
      <w:r w:rsidR="00DF0CBD">
        <w:rPr>
          <w:lang w:val="en-US"/>
        </w:rPr>
        <w:t xml:space="preserve">more </w:t>
      </w:r>
      <w:r w:rsidRPr="00A55789">
        <w:rPr>
          <w:lang w:val="en-US"/>
        </w:rPr>
        <w:t xml:space="preserve">abstract cues </w:t>
      </w:r>
      <w:r w:rsidR="00DF0CBD">
        <w:rPr>
          <w:lang w:val="en-US"/>
        </w:rPr>
        <w:t>gaining meaning from their</w:t>
      </w:r>
      <w:r w:rsidRPr="00A55789">
        <w:rPr>
          <w:lang w:val="en-US"/>
        </w:rPr>
        <w:t xml:space="preserve"> shape, size, number, or spatial arrangement. Children understood direct drawings </w:t>
      </w:r>
      <w:r w:rsidR="00DF0CBD">
        <w:rPr>
          <w:lang w:val="en-US"/>
        </w:rPr>
        <w:t>around three years of age</w:t>
      </w:r>
      <w:r w:rsidRPr="00A55789">
        <w:rPr>
          <w:lang w:val="en-US"/>
        </w:rPr>
        <w:t xml:space="preserve">, but their ability to interpret more abstract symbols emerged around the fourth birthday. </w:t>
      </w:r>
      <w:r w:rsidR="00034C6F">
        <w:rPr>
          <w:lang w:val="en-US"/>
        </w:rPr>
        <w:t xml:space="preserve">This research helps to understand early symbolic development and my inform literacy curricula and the design of educational materials.  </w:t>
      </w:r>
    </w:p>
    <w:p w14:paraId="06805ECB" w14:textId="1147EE53" w:rsidR="009A06C4" w:rsidRDefault="00DA7784">
      <w:pPr>
        <w:rPr>
          <w:lang w:val="en-US"/>
        </w:rPr>
      </w:pPr>
      <w:r>
        <w:rPr>
          <w:lang w:val="en-US"/>
        </w:rPr>
        <w:t>Abstract 200 words</w:t>
      </w:r>
    </w:p>
    <w:p w14:paraId="4BFFBFEE" w14:textId="6D55820D" w:rsidR="00DA7784" w:rsidRDefault="00E44B3A">
      <w:pPr>
        <w:rPr>
          <w:lang w:val="en-US"/>
        </w:rPr>
      </w:pPr>
      <w:r w:rsidRPr="00E44B3A">
        <w:rPr>
          <w:lang w:val="en-US"/>
        </w:rPr>
        <w:t>The developmental literature testifies to young children’s remarkable communicative skills in language and gesture, but much less is known about the domain of graphical communication. In three coordinated studies with identical procedures, young children’s ability to spontaneously comprehend unfamiliar graphic symbols was tested in a simple object-choice task across a wide variety of symbol-referent relationships. In four conditions per study, reference was established via representation, part-whole relationships, analogies in size, number and form and gestalt-like principles such as orientation, alignment or figure-ground relations. The samples comprise German-speaking children continuously spread from the third to the seventh birthday (Study 1, N = 106, 51 female; Study 2, N = 99, 49 female; Study 3, N = 99, 55 female). While children are generally able to use direct representations to identify the correct target item already prior to their third birthday, group-level success in all other conditions was observed later, but well before school age. Converging results from conditions employing several abstract and conceptual symbol-referent relationships point to a qualitative shift in symbolic competence around the fourth birthday. Together, this set of studies explores the conceptual continuum from iconic to abstract graphical representations and, therein, provides one of the most comprehensive, robust and systematic investigations of young children’s ability to find meaning in unfamiliar graphic symbols - a largely unexplored component of graphic communication.</w:t>
      </w:r>
    </w:p>
    <w:p w14:paraId="2C0C278D" w14:textId="370ECBFD" w:rsidR="00DA7784" w:rsidRDefault="00DA7784">
      <w:pPr>
        <w:rPr>
          <w:lang w:val="en-US"/>
        </w:rPr>
      </w:pPr>
      <w:r>
        <w:rPr>
          <w:lang w:val="en-US"/>
        </w:rPr>
        <w:br/>
      </w:r>
    </w:p>
    <w:p w14:paraId="7F5B11A2" w14:textId="77777777" w:rsidR="00F532BD" w:rsidRDefault="00DA7784">
      <w:pPr>
        <w:rPr>
          <w:lang w:val="en-US"/>
        </w:rPr>
      </w:pPr>
      <w:r>
        <w:rPr>
          <w:lang w:val="en-US"/>
        </w:rPr>
        <w:br w:type="page"/>
      </w:r>
    </w:p>
    <w:p w14:paraId="6751045A" w14:textId="39572046" w:rsidR="00F532BD" w:rsidRDefault="00F532BD">
      <w:pPr>
        <w:rPr>
          <w:lang w:val="en-US"/>
        </w:rPr>
      </w:pPr>
      <w:r>
        <w:rPr>
          <w:lang w:val="en-US"/>
        </w:rPr>
        <w:lastRenderedPageBreak/>
        <w:t>ABSTRACT SHORTENED</w:t>
      </w:r>
    </w:p>
    <w:p w14:paraId="4DB4727D" w14:textId="63C0678A" w:rsidR="00DA7784" w:rsidRDefault="00F532BD">
      <w:pPr>
        <w:rPr>
          <w:lang w:val="en-US"/>
        </w:rPr>
      </w:pPr>
      <w:r w:rsidRPr="00F532BD">
        <w:rPr>
          <w:lang w:val="en-US"/>
        </w:rPr>
        <w:t>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German-speaking children continuously sampled from age 3 to 7 (Study 1, N = 106, 51 female; Study 2, N = 99, 49 female; Study 3, N = 99, 55 female). Children reliably used direct representations to identify target objects before age 3, whereas group-level success in the more abstract conditions emerged later but consistently before school entry. Converging evidence across conditions involving abstract or conceptual correspondences indicates a qualitative shift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4B9BE78C" w14:textId="77777777" w:rsidR="00DA7784" w:rsidRDefault="00DA7784">
      <w:pPr>
        <w:rPr>
          <w:lang w:val="en-US"/>
        </w:rPr>
      </w:pPr>
    </w:p>
    <w:p w14:paraId="290E1239" w14:textId="77777777" w:rsidR="00C41FC5" w:rsidRDefault="00C41FC5">
      <w:pPr>
        <w:rPr>
          <w:lang w:val="en-US"/>
        </w:rPr>
      </w:pPr>
      <w:r>
        <w:rPr>
          <w:lang w:val="en-US"/>
        </w:rPr>
        <w:br w:type="page"/>
      </w:r>
    </w:p>
    <w:sectPr w:rsidR="00C41FC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006"/>
    <w:rsid w:val="00034C6F"/>
    <w:rsid w:val="008B5006"/>
    <w:rsid w:val="009A06C4"/>
    <w:rsid w:val="00A55789"/>
    <w:rsid w:val="00AA7082"/>
    <w:rsid w:val="00C41FC5"/>
    <w:rsid w:val="00DA7784"/>
    <w:rsid w:val="00DE54C3"/>
    <w:rsid w:val="00DF0CBD"/>
    <w:rsid w:val="00E44B3A"/>
    <w:rsid w:val="00F30019"/>
    <w:rsid w:val="00F532BD"/>
    <w:rsid w:val="00F85DD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C2D5F"/>
  <w15:chartTrackingRefBased/>
  <w15:docId w15:val="{C90BE3C9-2DD5-4D07-A204-5B916AB1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B5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B5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B500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500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500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500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500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500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500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B500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B500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B500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B500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B500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B500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500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500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5006"/>
    <w:rPr>
      <w:rFonts w:eastAsiaTheme="majorEastAsia" w:cstheme="majorBidi"/>
      <w:color w:val="272727" w:themeColor="text1" w:themeTint="D8"/>
    </w:rPr>
  </w:style>
  <w:style w:type="paragraph" w:styleId="Titel">
    <w:name w:val="Title"/>
    <w:basedOn w:val="Standard"/>
    <w:next w:val="Standard"/>
    <w:link w:val="TitelZchn"/>
    <w:uiPriority w:val="10"/>
    <w:qFormat/>
    <w:rsid w:val="008B5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500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500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500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500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B5006"/>
    <w:rPr>
      <w:i/>
      <w:iCs/>
      <w:color w:val="404040" w:themeColor="text1" w:themeTint="BF"/>
    </w:rPr>
  </w:style>
  <w:style w:type="paragraph" w:styleId="Listenabsatz">
    <w:name w:val="List Paragraph"/>
    <w:basedOn w:val="Standard"/>
    <w:uiPriority w:val="34"/>
    <w:qFormat/>
    <w:rsid w:val="008B5006"/>
    <w:pPr>
      <w:ind w:left="720"/>
      <w:contextualSpacing/>
    </w:pPr>
  </w:style>
  <w:style w:type="character" w:styleId="IntensiveHervorhebung">
    <w:name w:val="Intense Emphasis"/>
    <w:basedOn w:val="Absatz-Standardschriftart"/>
    <w:uiPriority w:val="21"/>
    <w:qFormat/>
    <w:rsid w:val="008B5006"/>
    <w:rPr>
      <w:i/>
      <w:iCs/>
      <w:color w:val="0F4761" w:themeColor="accent1" w:themeShade="BF"/>
    </w:rPr>
  </w:style>
  <w:style w:type="paragraph" w:styleId="IntensivesZitat">
    <w:name w:val="Intense Quote"/>
    <w:basedOn w:val="Standard"/>
    <w:next w:val="Standard"/>
    <w:link w:val="IntensivesZitatZchn"/>
    <w:uiPriority w:val="30"/>
    <w:qFormat/>
    <w:rsid w:val="008B5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B5006"/>
    <w:rPr>
      <w:i/>
      <w:iCs/>
      <w:color w:val="0F4761" w:themeColor="accent1" w:themeShade="BF"/>
    </w:rPr>
  </w:style>
  <w:style w:type="character" w:styleId="IntensiverVerweis">
    <w:name w:val="Intense Reference"/>
    <w:basedOn w:val="Absatz-Standardschriftart"/>
    <w:uiPriority w:val="32"/>
    <w:qFormat/>
    <w:rsid w:val="008B5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529</Words>
  <Characters>3333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 Kachel</dc:creator>
  <cp:keywords/>
  <dc:description/>
  <cp:lastModifiedBy>Gregor Kachel</cp:lastModifiedBy>
  <cp:revision>8</cp:revision>
  <dcterms:created xsi:type="dcterms:W3CDTF">2025-11-14T13:11:00Z</dcterms:created>
  <dcterms:modified xsi:type="dcterms:W3CDTF">2025-11-15T11:19:00Z</dcterms:modified>
</cp:coreProperties>
</file>