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5E175" w14:textId="4925026E" w:rsidR="007B3434" w:rsidRDefault="007B3434" w:rsidP="007B3434">
      <w:pPr>
        <w:pStyle w:val="Titel"/>
      </w:pPr>
      <w:r>
        <w:t>Young Children’s Spontaneous Comprehension of Symbol-Referent Relationships in the Graphic Domain</w:t>
      </w:r>
    </w:p>
    <w:p w14:paraId="5056EF03" w14:textId="77777777" w:rsidR="007B3434" w:rsidRDefault="007B3434" w:rsidP="007B3434">
      <w:pPr>
        <w:pStyle w:val="Author"/>
      </w:pPr>
      <w:r>
        <w:t>Gregor Kachel</w:t>
      </w:r>
      <w:r>
        <w:rPr>
          <w:vertAlign w:val="superscript"/>
        </w:rPr>
        <w:t>1</w:t>
      </w:r>
      <w:r>
        <w:t>, Daniel Haun</w:t>
      </w:r>
      <w:r>
        <w:rPr>
          <w:vertAlign w:val="superscript"/>
        </w:rPr>
        <w:t>2</w:t>
      </w:r>
      <w:r>
        <w:t>, &amp; Manuel Bohn</w:t>
      </w:r>
      <w:r>
        <w:rPr>
          <w:vertAlign w:val="superscript"/>
        </w:rPr>
        <w:t>1</w:t>
      </w:r>
    </w:p>
    <w:p w14:paraId="321C380F" w14:textId="77777777" w:rsidR="007B3434" w:rsidRDefault="007B3434" w:rsidP="007B3434">
      <w:pPr>
        <w:pStyle w:val="Author"/>
      </w:pPr>
      <w:r>
        <w:rPr>
          <w:vertAlign w:val="superscript"/>
        </w:rPr>
        <w:t>1</w:t>
      </w:r>
      <w:r>
        <w:t xml:space="preserve"> Leuphana University</w:t>
      </w:r>
    </w:p>
    <w:p w14:paraId="7F9F557C" w14:textId="77777777" w:rsidR="007B3434" w:rsidRDefault="007B3434" w:rsidP="007B3434">
      <w:pPr>
        <w:pStyle w:val="Author"/>
      </w:pPr>
      <w:r>
        <w:rPr>
          <w:vertAlign w:val="superscript"/>
        </w:rPr>
        <w:t>2</w:t>
      </w:r>
      <w:r>
        <w:t xml:space="preserve"> Max-Planck-Institute for Evolutionary Anthropology</w:t>
      </w:r>
    </w:p>
    <w:p w14:paraId="090A0AEC" w14:textId="4EA1F719" w:rsidR="00DA5238" w:rsidRDefault="00DA5238">
      <w:pPr>
        <w:spacing w:before="0" w:after="200" w:line="240" w:lineRule="auto"/>
        <w:rPr>
          <w:b/>
          <w:bCs/>
        </w:rPr>
      </w:pPr>
      <w:r>
        <w:rPr>
          <w:b/>
          <w:bCs/>
        </w:rPr>
        <w:br w:type="page"/>
      </w:r>
    </w:p>
    <w:p w14:paraId="00C6FB07" w14:textId="77777777" w:rsidR="00DA5238" w:rsidRDefault="00DA5238" w:rsidP="00DA5238">
      <w:pPr>
        <w:pStyle w:val="authornote-title"/>
        <w:framePr w:wrap="notBeside"/>
      </w:pPr>
      <w:r>
        <w:lastRenderedPageBreak/>
        <w:t>Author note</w:t>
      </w:r>
    </w:p>
    <w:p w14:paraId="6C98F563" w14:textId="77777777" w:rsidR="00DA5238" w:rsidRDefault="00DA5238" w:rsidP="00DA5238">
      <w:pPr>
        <w:pStyle w:val="authornote"/>
        <w:framePr w:wrap="notBeside"/>
      </w:pPr>
      <w:r>
        <w:rPr>
          <w:i/>
          <w:iCs/>
        </w:rPr>
        <w:t>Ethics, consent and conflict of interest</w:t>
      </w:r>
      <w:r>
        <w:t>: The study obtained ethical clearance from the MPG Ethics Commission in Munich, Germany, falling under an umbrella ethics application (Appl. No. 2021_45). Informed consent has been obtained from all participants. The authors declare no conflict of interest.</w:t>
      </w:r>
    </w:p>
    <w:p w14:paraId="430AB97F" w14:textId="623AF9DA" w:rsidR="00DA5238" w:rsidRDefault="00DA5238" w:rsidP="00EC35E8">
      <w:pPr>
        <w:pStyle w:val="authornote"/>
        <w:framePr w:wrap="notBeside"/>
        <w:jc w:val="both"/>
      </w:pPr>
      <w:r>
        <w:rPr>
          <w:i/>
          <w:iCs/>
        </w:rPr>
        <w:t>Scientific Integrity and Openness</w:t>
      </w:r>
      <w:r>
        <w:t>: The data and code necessary to reproduce the analyses presented here are publicly accessible, as are the materials necessary to replicate the findings. Analyses were pre-registered. For data, analyses</w:t>
      </w:r>
      <w:r w:rsidR="00F93BE3">
        <w:t>,</w:t>
      </w:r>
      <w:r>
        <w:t xml:space="preserve"> materials, and preregistrations see:</w:t>
      </w:r>
      <w:r w:rsidR="001A700D">
        <w:t xml:space="preserve"> </w:t>
      </w:r>
      <w:hyperlink r:id="rId7" w:history="1">
        <w:r w:rsidR="001A700D" w:rsidRPr="00A41C2F">
          <w:rPr>
            <w:rStyle w:val="Hyperlink"/>
          </w:rPr>
          <w:t>https://doi.org/10.5281/zenodo.21894820</w:t>
        </w:r>
      </w:hyperlink>
      <w:r w:rsidR="001A700D">
        <w:t xml:space="preserve"> </w:t>
      </w:r>
      <w:r>
        <w:t xml:space="preserve"> </w:t>
      </w:r>
    </w:p>
    <w:p w14:paraId="0D7B1D20" w14:textId="77777777" w:rsidR="00DA5238" w:rsidRDefault="00DA5238" w:rsidP="00EC35E8">
      <w:pPr>
        <w:pStyle w:val="authornote"/>
        <w:framePr w:wrap="notBeside"/>
        <w:jc w:val="both"/>
      </w:pPr>
      <w:r>
        <w:rPr>
          <w:i/>
          <w:iCs/>
        </w:rPr>
        <w:t>Acknowledgments</w:t>
      </w:r>
      <w:r>
        <w:t xml:space="preserve">: We are thankful to Susanne Mauritz for her help in the organization of the study and to Valerie Jurgenson and Cynthia Pones for help with data collection. We would like to thank Anne Deiglmayr for hosting this project in her research group and for her continuous support. This research was supported by the Max Planck Society for the Advancement of Science. Gregor Kachel was supported by the German Research Foundation (Deutsche </w:t>
      </w:r>
      <w:proofErr w:type="spellStart"/>
      <w:r>
        <w:t>Forschungsgemeinschaft</w:t>
      </w:r>
      <w:proofErr w:type="spellEnd"/>
      <w:r>
        <w:t>) under project number 429220405.</w:t>
      </w:r>
    </w:p>
    <w:p w14:paraId="4718FBE3" w14:textId="77777777" w:rsidR="00DA5238" w:rsidRDefault="00DA5238" w:rsidP="00EC35E8">
      <w:pPr>
        <w:pStyle w:val="authornote"/>
        <w:framePr w:wrap="notBeside"/>
        <w:jc w:val="both"/>
      </w:pPr>
      <w:r>
        <w:t>The authors made the following contributions. Gregor Kachel: Conceptualization, Funding Acquisition, Project Administration, Investigation, Methodology, Data Curation, Formal Analysis, Visualization, Writing - Original Draft Preparation, Writing - Review &amp; Editing; Daniel Haun: Resources, Writing - Review &amp; Editing; Manuel Bohn: Methodology, Software, Formal Analysis, Validation, Writing - Review &amp; Editing, Supervision.</w:t>
      </w:r>
    </w:p>
    <w:p w14:paraId="24841433" w14:textId="77777777" w:rsidR="00DA5238" w:rsidRDefault="00DA5238" w:rsidP="00EC35E8">
      <w:pPr>
        <w:pStyle w:val="authornote"/>
        <w:framePr w:wrap="notBeside"/>
        <w:jc w:val="both"/>
      </w:pPr>
      <w:r>
        <w:t xml:space="preserve">Correspondence concerning this article should be addressed to Gregor Kachel, </w:t>
      </w:r>
      <w:proofErr w:type="spellStart"/>
      <w:r>
        <w:t>Universitätsallee</w:t>
      </w:r>
      <w:proofErr w:type="spellEnd"/>
      <w:r>
        <w:t xml:space="preserve"> 1, C1.008a, 21335 </w:t>
      </w:r>
      <w:proofErr w:type="spellStart"/>
      <w:r>
        <w:t>Lüneburg</w:t>
      </w:r>
      <w:proofErr w:type="spellEnd"/>
      <w:r>
        <w:t>. E-mail: gregor.kachel@leuphana.de</w:t>
      </w:r>
    </w:p>
    <w:p w14:paraId="266E4C33" w14:textId="05FAFEB5" w:rsidR="00B8759D" w:rsidRPr="00CD78A8" w:rsidRDefault="00000000">
      <w:pPr>
        <w:pStyle w:val="h1-pagebreak"/>
        <w:rPr>
          <w:b/>
          <w:bCs w:val="0"/>
        </w:rPr>
      </w:pPr>
      <w:r w:rsidRPr="00CD78A8">
        <w:rPr>
          <w:b/>
          <w:bCs w:val="0"/>
        </w:rPr>
        <w:lastRenderedPageBreak/>
        <w:t>Abstract</w:t>
      </w:r>
    </w:p>
    <w:p w14:paraId="706E17E4" w14:textId="77777777" w:rsidR="00B8759D" w:rsidRDefault="00000000" w:rsidP="00BF4828">
      <w:pPr>
        <w:pStyle w:val="Textkrper"/>
        <w:jc w:val="both"/>
      </w:pPr>
      <w:r>
        <w:t xml:space="preserve">Young children’s communicative skills in language and gesture are well documented, yet much less is known about their ability to interpret graphical symbols. Across three coordinated studies using identical procedures, we examined children’s spontaneous comprehension of unfamiliar graphic symbols in a simple object-choice task spanning a broad range of symbol–referent relationships. Each study included four conditions in which reference was established through direct representation, part–whole relations, analogies in size, number, and form, or gestalt principles such as orientation, alignment, and figure–ground organization. Participants were 304 German-speaking children continuously sampled from age 3 to 7 (Study 1, </w:t>
      </w:r>
      <w:r w:rsidRPr="00CD78A8">
        <w:rPr>
          <w:i/>
          <w:iCs/>
        </w:rPr>
        <w:t>N</w:t>
      </w:r>
      <w:r>
        <w:t xml:space="preserve"> = 106, 51 female; Study 2, </w:t>
      </w:r>
      <w:r w:rsidRPr="00CD78A8">
        <w:rPr>
          <w:i/>
          <w:iCs/>
        </w:rPr>
        <w:t>N</w:t>
      </w:r>
      <w:r>
        <w:t xml:space="preserve"> = 99, 49 female; Study 3, </w:t>
      </w:r>
      <w:r w:rsidRPr="00CD78A8">
        <w:rPr>
          <w:i/>
          <w:iCs/>
        </w:rPr>
        <w:t>N</w:t>
      </w:r>
      <w:r>
        <w:t xml:space="preserve"> = 99, 55 female). Children reliably used direct representations to identify target objects before age 3, whereas group-level success in less iconic conditions emerged later but consistently before school entry. Across conditions involving abstract analogical correspondences, results indicate converging developments in symbolic competence around age 4. Together, these studies trace children’s developing ability to understand graphical reference across a continuum from iconic to abstract and offer one of the most systematic investigations to date of how young children derive meaning from unfamiliar graphic symbols.</w:t>
      </w:r>
    </w:p>
    <w:p w14:paraId="4A977E16" w14:textId="77777777" w:rsidR="00B8759D" w:rsidRDefault="00000000">
      <w:pPr>
        <w:pStyle w:val="Textkrper"/>
      </w:pPr>
      <w:r>
        <w:rPr>
          <w:i/>
          <w:iCs/>
        </w:rPr>
        <w:t>Keywords:</w:t>
      </w:r>
      <w:r>
        <w:t xml:space="preserve"> Graphic Communication, Pragmatics, Symbol-Referent-Relationships, Iconicity, Representation, Analogical Reasoning</w:t>
      </w:r>
    </w:p>
    <w:p w14:paraId="4393B89E" w14:textId="77777777" w:rsidR="00B8759D" w:rsidRDefault="00000000">
      <w:pPr>
        <w:pStyle w:val="h1-pagebreak"/>
      </w:pPr>
      <w:r>
        <w:lastRenderedPageBreak/>
        <w:t>Young Children’s Spontaneous Comprehension of Symbol-Referent Relationships in the Graphic Domain</w:t>
      </w:r>
    </w:p>
    <w:p w14:paraId="151E4E28" w14:textId="560C7D96" w:rsidR="00B8759D" w:rsidRDefault="00000000" w:rsidP="00CD78A8">
      <w:pPr>
        <w:pStyle w:val="berschrift2"/>
        <w:jc w:val="center"/>
      </w:pPr>
      <w:bookmarkStart w:id="0" w:name="lay-summary-max.-120-words"/>
      <w:r>
        <w:t>Lay Summary</w:t>
      </w:r>
    </w:p>
    <w:p w14:paraId="36E31F7A" w14:textId="44C7D5F5" w:rsidR="00042D68" w:rsidRDefault="00042D68" w:rsidP="00B1189D">
      <w:pPr>
        <w:ind w:firstLine="680"/>
        <w:jc w:val="both"/>
      </w:pPr>
      <w:r>
        <w:t>Young children are skilled at understanding spoken language and gestures, but much less is known about their grasp of graphic displays. We explored how children aged 3 to 7 interpret line-drawings presented as cues in a picture-book-style game of hide and seek. When the cue was an outline drawing of the hiding place, children succeeded by three years of age. But when the drawn cue matched the hiding place only with regard to a specific feature such as size, number, or orientation, children were able to use the hints only around four years of age. These findings show how children gradually become sensitive to various ways of conveying information in visual symbols throughout the preschool years</w:t>
      </w:r>
      <w:r w:rsidR="0061482A">
        <w:t>,</w:t>
      </w:r>
      <w:r>
        <w:t xml:space="preserve"> and prior to literacy.</w:t>
      </w:r>
    </w:p>
    <w:p w14:paraId="3B71C2EA" w14:textId="588D1172" w:rsidR="00345C21" w:rsidRDefault="00345C21">
      <w:pPr>
        <w:spacing w:before="0" w:after="200" w:line="240" w:lineRule="auto"/>
      </w:pPr>
      <w:bookmarkStart w:id="1" w:name="introduction"/>
      <w:bookmarkEnd w:id="0"/>
      <w:r>
        <w:br w:type="page"/>
      </w:r>
    </w:p>
    <w:p w14:paraId="657C518F" w14:textId="77777777" w:rsidR="00B8759D" w:rsidRDefault="00000000" w:rsidP="00BF4828">
      <w:pPr>
        <w:pStyle w:val="FirstParagraph"/>
        <w:jc w:val="both"/>
      </w:pPr>
      <w:r>
        <w:lastRenderedPageBreak/>
        <w:t>The development of symbolic understanding - encompassing language, gesture, and symbolic artifacts - is a cornerstone of human enculturation and a hallmark of cognitive capacities defining the human mind (Tomasello, 2014; Vygotsky, 1980). Within this developmental trajectory, the acquisition of oral language and the subsequent mastery of literacy (Bruner, 1996; Dehaene, 2009; Olson, 1994) represent two of the most transformative milestones in cultural learning, each yielding profound consequences for children’s cognitive architecture (Karmiloff-Smith, 1994). To elucidate the underlying mechanisms, researchers have examined how children from infancy through the preschool years negotiate various symbolic media, including gestures, words, photographs, representative drawings, maps, models, and sound symbolism (Callaghan &amp; Corbit, 2015).</w:t>
      </w:r>
    </w:p>
    <w:p w14:paraId="6D51CA5D" w14:textId="2BFAB4DD" w:rsidR="00B8759D" w:rsidRDefault="00000000" w:rsidP="00BF4828">
      <w:pPr>
        <w:pStyle w:val="Textkrper"/>
        <w:jc w:val="both"/>
      </w:pPr>
      <w:r>
        <w:t>The symbolic object-choice task serves as a primary paradigm for investigating these capacities. In a typical procedure, children engage in a “hide-and-seek” game where, after familiarization with the goal of retrieving a target from one of two containers, the hiding process is obscured. At test, the experimenter provides a communicative cue to guide the search. Researchers have manipulated these cues to probe the ontogeny of symbolic appreciation, ranging from social signals like gaze, reaching, pointing or iconic gestures (Behne</w:t>
      </w:r>
      <w:r w:rsidR="00345C21">
        <w:t xml:space="preserve"> et al.</w:t>
      </w:r>
      <w:r>
        <w:t>, 2012; Bohn</w:t>
      </w:r>
      <w:r w:rsidR="00345C21">
        <w:t xml:space="preserve"> et al.</w:t>
      </w:r>
      <w:r>
        <w:t xml:space="preserve">, 2019; Sodian &amp; Thoermer, 2004; Tomasello, Carpenter, &amp; Liszkowski, 2007; Tomasello, Striano, &amp; Rochat, 1999), to artifacts such as arrows, markers, replicas (Callaghan, 2000; Leekam, Solomon, &amp; Teoh, 2010; Tomasello, Call, &amp; Gluckman, 1997), graphic symbols such as drawings or photographs (Callaghan, 2000; DeLoache, 1991), and even arbitrary signals like turning on a light (Moore, Liebal, &amp; Tomasello, 2013). Standard analyses of this paradigm (Tomasello, 2010) suggest that success requires navigating several inferential layers. Within a cooperative framework, the child must first construe the interaction as a joint endeavor with a competent partner, allowing them to treat the cue as a deliberate communicative act rather than a </w:t>
      </w:r>
      <w:r>
        <w:lastRenderedPageBreak/>
        <w:t xml:space="preserve">random event. Retrieval then necessitates a dual inference: recognizing the cue’s pragmatic relevance to the immediate goal and then mapping the symbol-referent relationship - whether via deixis, iconicity, or </w:t>
      </w:r>
      <w:proofErr w:type="spellStart"/>
      <w:r>
        <w:t>spatio</w:t>
      </w:r>
      <w:proofErr w:type="spellEnd"/>
      <w:r>
        <w:t>-temporal contiguity. Ultimately, the task demands both: appreciating the partner’s intent (pragmatic inference) and the structural match between cue and target (analogical inference).</w:t>
      </w:r>
    </w:p>
    <w:p w14:paraId="75CD55CE" w14:textId="3B3F30DB" w:rsidR="00B8759D" w:rsidRDefault="00000000" w:rsidP="00BF4828">
      <w:pPr>
        <w:pStyle w:val="Textkrper"/>
        <w:jc w:val="both"/>
      </w:pPr>
      <w:r>
        <w:t xml:space="preserve">Although infants interpret communicative signals such as pointing and gaze direction by the end of the first year, their ability to exploit symbolic artifacts emerges significantly later. The seminal work of DeLoache and colleagues has been instrumental in charting this development, demonstrating that children’s </w:t>
      </w:r>
      <w:r w:rsidR="008A5E24">
        <w:t>ability</w:t>
      </w:r>
      <w:r>
        <w:t xml:space="preserve"> </w:t>
      </w:r>
      <w:r w:rsidR="001147FE">
        <w:t>for using</w:t>
      </w:r>
      <w:r>
        <w:t xml:space="preserve"> scale models, pictures, videos, and maps as informative tools undergoe</w:t>
      </w:r>
      <w:r w:rsidR="008A5E24">
        <w:t>s</w:t>
      </w:r>
      <w:r>
        <w:t xml:space="preserve"> a rapid transformation during the third year of life (DeLoache, 1991, 2004, 2011). A robust finding across this literature is the 30-to-36-month transition: while 30-month-olds typically fail to use a scale model to locate a hidden item, 36-month-olds excel</w:t>
      </w:r>
      <w:r w:rsidR="00E0607B">
        <w:t>.</w:t>
      </w:r>
      <w:r>
        <w:t xml:space="preserve"> </w:t>
      </w:r>
      <w:r w:rsidR="00E0607B">
        <w:t xml:space="preserve">They are </w:t>
      </w:r>
      <w:r w:rsidR="007F1A7B">
        <w:t>acquire</w:t>
      </w:r>
      <w:r>
        <w:t xml:space="preserve"> the concept of “dual representation” enabling them to see an artifact as both an object and a symbol (Callaghan &amp; Corbit, 2015; DeLoache, 2004). A parallel developmental trajectory is evident in the domain of graphic representation: functional use of graphic representations such as line or pencil drawings in choice tasks remains fragile until approximately age three. For instance, while children as young as 30 months may use shape to interpret drawings when intentionality is clear (Gelman &amp; Ebeling, 1998), Callaghan (1999) found that at 24 months children still struggle to select items based on representative drawings. This fragility is underscored by findings that 30-month-olds often fail to benefit from iconicity in either drawings or replica objects, whereas 36-month-olds reliably succeed in object-choice-tasks across varying levels of stylization (Callaghan, 2000; DeLoache, 1995).</w:t>
      </w:r>
    </w:p>
    <w:p w14:paraId="6161C222" w14:textId="02D7B374" w:rsidR="00B8759D" w:rsidRDefault="00000000" w:rsidP="00BF4828">
      <w:pPr>
        <w:pStyle w:val="Textkrper"/>
        <w:jc w:val="both"/>
      </w:pPr>
      <w:r>
        <w:lastRenderedPageBreak/>
        <w:t xml:space="preserve">Hence, from 36 months onward, it may be productive to investigate whether children can comprehend symbol-referent-relationships that are less dependent on iconicity. In the context of the studies presented below, we discuss various symbol-referent-relationships as exhibiting iconicity in varying degrees (Winter, Woodin, &amp; Perlman, 2026) and place them on a continuum from </w:t>
      </w:r>
      <w:r w:rsidRPr="007F1A7B">
        <w:rPr>
          <w:i/>
          <w:iCs/>
        </w:rPr>
        <w:t>iconic</w:t>
      </w:r>
      <w:r>
        <w:t xml:space="preserve"> to </w:t>
      </w:r>
      <w:r w:rsidRPr="007F1A7B">
        <w:rPr>
          <w:i/>
          <w:iCs/>
        </w:rPr>
        <w:t>abstract</w:t>
      </w:r>
      <w:r>
        <w:t>: when symbol and referent are very similar and specifically share surface level features such as shape, their relation is highly iconic. To the extent that symbol and referent do not share surface</w:t>
      </w:r>
      <w:r w:rsidR="00345C21">
        <w:t>-</w:t>
      </w:r>
      <w:r>
        <w:t xml:space="preserve">level features but rather structural or relational properties, they are less iconic and more abstract. While iconicity provides an entry point for symbol-grounding in graphic communication (Callaghan, 2000) much like in the gestural domain (Bohn et al., 2019; Callaghan &amp; Corbit, 2015; Fay, Ellison, &amp; Garrod, 2014), it is generally also possible to draw less on visual resemblance and establish reference via analogies in size, number, orientation, position or gestalt principles - all of which are serving as fundamental avenues for encoding information in the graphic domain (Cleveland &amp; McGill, 1984; Donnelly et al., 2007; Stevenson </w:t>
      </w:r>
      <w:r w:rsidR="00460518">
        <w:t>et al.</w:t>
      </w:r>
      <w:r>
        <w:t>, 2014). Any symbol-referent-relationship that children can spontaneously use early may be of particular relevance for our understanding of graphical</w:t>
      </w:r>
      <w:r w:rsidR="007F1A7B">
        <w:t xml:space="preserve"> and emerging</w:t>
      </w:r>
      <w:r>
        <w:t xml:space="preserve"> literacy and the development of graphic systems of communication. Defining the ages and relative developmental trajectories for children’s </w:t>
      </w:r>
      <w:r w:rsidR="00D07A23">
        <w:t>ability</w:t>
      </w:r>
      <w:r>
        <w:t xml:space="preserve"> to us</w:t>
      </w:r>
      <w:r w:rsidR="00D07A23">
        <w:t>e</w:t>
      </w:r>
      <w:r>
        <w:t xml:space="preserve"> these graphic primitives as conveying meaning and for disambiguating reference in object-choice-tasks will provide crucial insights into children’s developing symbolic competence and the interplay of communicative and analogical capacities.</w:t>
      </w:r>
    </w:p>
    <w:p w14:paraId="7E618DC1" w14:textId="79496F42" w:rsidR="00B8759D" w:rsidRDefault="00000000" w:rsidP="00BF4828">
      <w:pPr>
        <w:pStyle w:val="Textkrper"/>
        <w:jc w:val="both"/>
      </w:pPr>
      <w:r>
        <w:t xml:space="preserve">While children appear generally able to make comparisons along the dimensions of shape, orientation, size and number, studies directly testing them as grounds for establishing reference are rare (Callaghan &amp; Corbit, 2015). A highly valuable point of reference can be found in the literature on relational and non-relational match-to-sample tasks where studies often comprise various stimulus sets or conditions probing these matching dimensions. While matching shapes in </w:t>
      </w:r>
      <w:r>
        <w:lastRenderedPageBreak/>
        <w:t xml:space="preserve">match-to-sample (MTS) tasks </w:t>
      </w:r>
      <w:r w:rsidR="00A9299B">
        <w:t>is no</w:t>
      </w:r>
      <w:r>
        <w:t xml:space="preserve"> challenge for children beyond age three (Gerhardstein &amp; Rovee-Collier, 2002; Kroupin &amp; Carey, 2022b), utilizing relational dimensions like size or number remains difficult. Even by age four, children rarely spontaneously infer size as a matching criterion in three-item MTS arrays, and success in number-based matching typically emerges between ages four and five (Kroupin &amp; Carey, 2022b). These difficulties intensify in relational match-to-sample (RMTS) tasks, which require coordinating at least six items to identify higher-order patterns of identity (AA, BB, AB) or difference (AB, BA, BB). Mastery across dimensions is generally absent prior to age five, as the task requires navigating abstract generalizations and suppressing prepotent responses to superficial features - taxing both executive function and working memory (Gentner &amp; Hoyos, 2017; Kroupin &amp; Carey, 2022a, 2022b). However, performance can be scaffolded. Four-year-olds succeed when relations are embedded in causal narratives (Goddu, Lombrozo, &amp; Gopnik, 2020), and even three-year-olds improve following explicit training with the terms </w:t>
      </w:r>
      <w:r>
        <w:rPr>
          <w:i/>
          <w:iCs/>
        </w:rPr>
        <w:t>same</w:t>
      </w:r>
      <w:r>
        <w:t xml:space="preserve"> and </w:t>
      </w:r>
      <w:r>
        <w:rPr>
          <w:i/>
          <w:iCs/>
        </w:rPr>
        <w:t>different</w:t>
      </w:r>
      <w:r>
        <w:t xml:space="preserve"> (Christie &amp; Gentner, 2014). A critical distinction exists between these paradigms and symbolic object-choice tasks. In MTS/RMTS, children are explicitly instructed to find matches as an end in itself. Conversely, the symbolic object-choice context requires an additional communicative inference: children must recognize that a cue was produced intentionally to guide their behavior and that its meaning derives from a specific relation to a target. Consequently, symbolic object-choice tasks represent a more demanding testing ground, probing whether young children can deploy their nascent analogical reasoning skills within a practical, goal-directed interaction.</w:t>
      </w:r>
    </w:p>
    <w:p w14:paraId="7F882B88" w14:textId="6C5C9BF7" w:rsidR="00B8759D" w:rsidRDefault="00000000" w:rsidP="00BF4828">
      <w:pPr>
        <w:pStyle w:val="Textkrper"/>
        <w:jc w:val="both"/>
      </w:pPr>
      <w:r>
        <w:t xml:space="preserve">From this overview, several research desiderata emerge. The prevailing literature’s heavy reliance on similarity and iconicity in the context of graphic communication (Callaghan &amp; Corbit, 2015) leaves the broader scope of children’s symbolic flexibility largely unexplored. Because most studies employ depictions of real-world objects, results may be influenced by children’s </w:t>
      </w:r>
      <w:r>
        <w:lastRenderedPageBreak/>
        <w:t>familiarity with canonical features (Long</w:t>
      </w:r>
      <w:r w:rsidR="00657465">
        <w:t xml:space="preserve"> et al.</w:t>
      </w:r>
      <w:r>
        <w:t xml:space="preserve">, 2019) or cultural graphic conventions. The present work provides a systematic investigation into the diverse dimensions along which graphic symbols can be imbued with meaning and traces development continuously through the pre-school years employing the symbolic object-choice task as one coherent and simple paradigm. By utilizing novel abstract graphic displays as cues and geometric shapes as targets, this study isolates children’s ability to identify symbol-referent-relationships and apply pragmatic inferences in context, largely independent of prior knowledge of script, numerals, or conventional icons. By omitting training, instruction, or feedback, our approach ensures that responses reflect what children find naturally meaningful. Consequently, the studies below showcase young children’s capacity to spontaneously grasp novel symbol-referent pairings offering critical insights into the learnability and emergence of communicative systems </w:t>
      </w:r>
      <w:r w:rsidR="009B67C0">
        <w:t>in an age-window</w:t>
      </w:r>
      <w:r>
        <w:t xml:space="preserve"> when conventional symbolic mastery is rapidly expanding.</w:t>
      </w:r>
    </w:p>
    <w:p w14:paraId="25FAFB84" w14:textId="77777777" w:rsidR="00B8759D" w:rsidRDefault="00000000">
      <w:pPr>
        <w:pStyle w:val="berschrift1"/>
      </w:pPr>
      <w:bookmarkStart w:id="2" w:name="study-1"/>
      <w:bookmarkEnd w:id="1"/>
      <w:r>
        <w:t>Study 1</w:t>
      </w:r>
    </w:p>
    <w:p w14:paraId="288FBB37" w14:textId="42A13ADC" w:rsidR="00B8759D" w:rsidRDefault="00000000" w:rsidP="005525B2">
      <w:pPr>
        <w:pStyle w:val="FirstParagraph"/>
        <w:jc w:val="both"/>
      </w:pPr>
      <w:r>
        <w:t>Study 1 aimed to establish a baseline for children’s performance and for evaluating task demands by providing the simplest symbol-referent relationship possible, where the cue is a direct representation of the target (</w:t>
      </w:r>
      <w:r>
        <w:rPr>
          <w:i/>
          <w:iCs/>
        </w:rPr>
        <w:t>Representation</w:t>
      </w:r>
      <w:r>
        <w:t>), which children should master at the end of the third year (Callaghan, 1999, 2000). From this, three further conditions were derived that were also relying on shape as a means for establishing reference but that were less iconic by either reducing the amount of information provided (</w:t>
      </w:r>
      <w:r>
        <w:rPr>
          <w:i/>
          <w:iCs/>
        </w:rPr>
        <w:t>Pars Pro Toto</w:t>
      </w:r>
      <w:r>
        <w:t>), or the amount of similarity between cue and target (</w:t>
      </w:r>
      <w:r>
        <w:rPr>
          <w:i/>
          <w:iCs/>
        </w:rPr>
        <w:t>Simple Form Analogy</w:t>
      </w:r>
      <w:r>
        <w:t xml:space="preserve">, </w:t>
      </w:r>
      <w:r>
        <w:rPr>
          <w:i/>
          <w:iCs/>
        </w:rPr>
        <w:t>Complex Form Analogy</w:t>
      </w:r>
      <w:r>
        <w:t xml:space="preserve">). With </w:t>
      </w:r>
      <w:r>
        <w:rPr>
          <w:i/>
          <w:iCs/>
        </w:rPr>
        <w:t>Pars Pro Toto</w:t>
      </w:r>
      <w:r>
        <w:t xml:space="preserve"> likely being more challenging than </w:t>
      </w:r>
      <w:r>
        <w:rPr>
          <w:i/>
          <w:iCs/>
        </w:rPr>
        <w:t>Representation</w:t>
      </w:r>
      <w:r>
        <w:t xml:space="preserve"> due to the completion required, and form analogies being relatively abstract, our preregistered hypothesis was that as a group, children will first succeed with </w:t>
      </w:r>
      <w:r>
        <w:rPr>
          <w:i/>
          <w:iCs/>
        </w:rPr>
        <w:t>Representation</w:t>
      </w:r>
      <w:r>
        <w:t xml:space="preserve">, then </w:t>
      </w:r>
      <w:r>
        <w:rPr>
          <w:i/>
          <w:iCs/>
        </w:rPr>
        <w:t>Pars Pro Toto</w:t>
      </w:r>
      <w:r>
        <w:t xml:space="preserve">, </w:t>
      </w:r>
      <w:r>
        <w:rPr>
          <w:i/>
          <w:iCs/>
        </w:rPr>
        <w:t>Simple Form Analogy</w:t>
      </w:r>
      <w:r>
        <w:t xml:space="preserve"> and finally </w:t>
      </w:r>
      <w:r>
        <w:rPr>
          <w:i/>
          <w:iCs/>
        </w:rPr>
        <w:t xml:space="preserve">Complex </w:t>
      </w:r>
      <w:r>
        <w:rPr>
          <w:i/>
          <w:iCs/>
        </w:rPr>
        <w:lastRenderedPageBreak/>
        <w:t>Form Analogy</w:t>
      </w:r>
      <w:r>
        <w:t xml:space="preserve">. The study was preregistered online prior to data collection (please see </w:t>
      </w:r>
      <w:hyperlink r:id="rId8" w:history="1">
        <w:r w:rsidR="005525B2" w:rsidRPr="00A41C2F">
          <w:rPr>
            <w:rStyle w:val="Hyperlink"/>
          </w:rPr>
          <w:t>Preregistration Study1</w:t>
        </w:r>
      </w:hyperlink>
      <w:r>
        <w:t xml:space="preserve">: </w:t>
      </w:r>
      <w:hyperlink r:id="rId9">
        <w:r w:rsidR="00B8759D">
          <w:rPr>
            <w:rStyle w:val="Hyperlink"/>
          </w:rPr>
          <w:t>https://aspredicted.org/SJT_H7F</w:t>
        </w:r>
      </w:hyperlink>
      <w:r>
        <w:t xml:space="preserve">). The stimuli, experiments, data and analyses for all studies reported below are available at: </w:t>
      </w:r>
      <w:hyperlink r:id="rId10" w:history="1">
        <w:r w:rsidR="005525B2" w:rsidRPr="00A41C2F">
          <w:rPr>
            <w:rStyle w:val="Hyperlink"/>
          </w:rPr>
          <w:t>https://doi.org/10.5281/zenodo.21894820</w:t>
        </w:r>
      </w:hyperlink>
      <w:r w:rsidR="005525B2">
        <w:t xml:space="preserve"> </w:t>
      </w:r>
    </w:p>
    <w:p w14:paraId="2D0DF2AA" w14:textId="77777777" w:rsidR="00B8759D" w:rsidRDefault="00000000" w:rsidP="00BF4828">
      <w:pPr>
        <w:pStyle w:val="berschrift2"/>
        <w:jc w:val="both"/>
      </w:pPr>
      <w:bookmarkStart w:id="3" w:name="participants-and-sample"/>
      <w:r>
        <w:t>Participants and Sample</w:t>
      </w:r>
    </w:p>
    <w:p w14:paraId="0B233AC1" w14:textId="5333BA7F" w:rsidR="00B8759D" w:rsidRDefault="005E0B6C" w:rsidP="00BF4828">
      <w:pPr>
        <w:pStyle w:val="FirstParagraph"/>
        <w:jc w:val="both"/>
      </w:pPr>
      <w:r>
        <w:t xml:space="preserve">To continuously trace the development of symbolic competence across the preschool years, we aimed to test a minimum of two children per month of age between the third and the seventh birthday for a total of 96 participants. As children participated on the basis of availability and data were collected by several experimenter teams in parallel, the number of </w:t>
      </w:r>
      <w:r w:rsidR="00D9382F">
        <w:t>participants</w:t>
      </w:r>
      <w:r>
        <w:t xml:space="preserve"> </w:t>
      </w:r>
      <w:r w:rsidR="00853483">
        <w:t>exceeded</w:t>
      </w:r>
      <w:r>
        <w:t xml:space="preserve"> the preregistered minimum sample size. A sample of 106 children (</w:t>
      </w:r>
      <w:r w:rsidRPr="00974926">
        <w:rPr>
          <w:i/>
          <w:iCs/>
        </w:rPr>
        <w:t>M</w:t>
      </w:r>
      <w:r>
        <w:t xml:space="preserve"> = 59.18 months, </w:t>
      </w:r>
      <w:r w:rsidRPr="00974926">
        <w:rPr>
          <w:i/>
          <w:iCs/>
        </w:rPr>
        <w:t>SD</w:t>
      </w:r>
      <w:r>
        <w:t xml:space="preserve"> = 13.58 months, range 36 - 83 months; 51 female) participated in Study 1. In addition, 22 children (11 female) were tested but excluded from analysis for </w:t>
      </w:r>
      <w:r w:rsidR="00334BCD">
        <w:t>failing</w:t>
      </w:r>
      <w:r>
        <w:t xml:space="preserve"> during familiarization (</w:t>
      </w:r>
      <w:r w:rsidRPr="00E2411F">
        <w:rPr>
          <w:i/>
          <w:iCs/>
        </w:rPr>
        <w:t>N</w:t>
      </w:r>
      <w:r>
        <w:t xml:space="preserve"> = 13</w:t>
      </w:r>
      <w:r w:rsidR="00A7580A">
        <w:t>, see below</w:t>
      </w:r>
      <w:r>
        <w:t>), for not completing at least eight out of 16 test trials (</w:t>
      </w:r>
      <w:r w:rsidRPr="00E2411F">
        <w:rPr>
          <w:i/>
          <w:iCs/>
        </w:rPr>
        <w:t>N</w:t>
      </w:r>
      <w:r>
        <w:t xml:space="preserve"> = 1), or due to being fussy (</w:t>
      </w:r>
      <w:r w:rsidRPr="00E2411F">
        <w:rPr>
          <w:i/>
          <w:iCs/>
        </w:rPr>
        <w:t>N</w:t>
      </w:r>
      <w:r>
        <w:t xml:space="preserve"> = 2). For 4 children, experimenters only learned during testing that they were not fluent enough in German to participate as their families had only recently migrated. Finally, 2 children had to be excluded due to technical issues. A total of 1688 trials (</w:t>
      </w:r>
      <w:r w:rsidR="00E2411F" w:rsidRPr="00E2411F">
        <w:rPr>
          <w:i/>
          <w:iCs/>
        </w:rPr>
        <w:t>M</w:t>
      </w:r>
      <w:r>
        <w:t xml:space="preserve"> per condition = 422, range: 420 - 424) from 106 participants were submitted for analysis. All participants were recruited in Leipzig, a medium-sized European city, and came from a predominantly white population of middle to high income families. Children were tested in day- and after school-care, and occasionally in the lab or at home. Data collection took place from June 2022 to February 2023. For an overview and comparison of the distribution of all children included in the analyses of studies 1-3, see </w:t>
      </w:r>
      <w:r w:rsidR="00345C21">
        <w:t xml:space="preserve">online </w:t>
      </w:r>
      <w:r>
        <w:t>supplement</w:t>
      </w:r>
      <w:r w:rsidR="00345C21">
        <w:t>al</w:t>
      </w:r>
      <w:r>
        <w:t xml:space="preserve"> </w:t>
      </w:r>
      <w:r w:rsidR="00345C21">
        <w:t>F</w:t>
      </w:r>
      <w:r>
        <w:t xml:space="preserve">igure 1. Figure 2 from the </w:t>
      </w:r>
      <w:r w:rsidR="00B02A8F">
        <w:t xml:space="preserve">online </w:t>
      </w:r>
      <w:r>
        <w:t>supplements shows the age-distribution of all children that participated but were not submitted to analyses due to the exclusion criteria outlined above.</w:t>
      </w:r>
    </w:p>
    <w:p w14:paraId="6191AD2B" w14:textId="77777777" w:rsidR="00B8759D" w:rsidRDefault="00000000" w:rsidP="00BF4828">
      <w:pPr>
        <w:pStyle w:val="berschrift2"/>
        <w:jc w:val="both"/>
      </w:pPr>
      <w:bookmarkStart w:id="4" w:name="setup-and-procedure"/>
      <w:bookmarkEnd w:id="3"/>
      <w:r>
        <w:lastRenderedPageBreak/>
        <w:t>Setup and Procedure</w:t>
      </w:r>
    </w:p>
    <w:p w14:paraId="2CAD2729" w14:textId="203900A7" w:rsidR="00B8759D" w:rsidRDefault="00000000" w:rsidP="00BF4828">
      <w:pPr>
        <w:pStyle w:val="FirstParagraph"/>
        <w:jc w:val="both"/>
      </w:pPr>
      <w:r>
        <w:t xml:space="preserve">During test sessions, a child and an experimenter sat down together to play a picture-book-style hiding game presented on a touch-screen laptop. Verbal instructions were played back by the experimental script. Experimenters supervised children and occasionally reacted with a fixed set of verbal prompts when children were not following the presentation (“Oh look, the game continues!”). See </w:t>
      </w:r>
      <w:r w:rsidR="00345C21">
        <w:t>F</w:t>
      </w:r>
      <w:r>
        <w:t>igure 1 A for an illustration of the setup.</w:t>
      </w:r>
    </w:p>
    <w:p w14:paraId="09C40FE3" w14:textId="6EF40097" w:rsidR="00B8759D" w:rsidRDefault="008F6269" w:rsidP="00BF4828">
      <w:pPr>
        <w:pStyle w:val="CaptionedFigure"/>
        <w:framePr w:wrap="notBeside"/>
        <w:jc w:val="both"/>
      </w:pPr>
      <w:r>
        <w:rPr>
          <w:noProof/>
        </w:rPr>
        <w:drawing>
          <wp:inline distT="0" distB="0" distL="0" distR="0" wp14:anchorId="21C7A661" wp14:editId="475630CD">
            <wp:extent cx="5213445" cy="3282287"/>
            <wp:effectExtent l="0" t="0" r="0" b="0"/>
            <wp:docPr id="25" name="Picture" descr="Figure 1: Setup, Stimuli and Trial Structure. Panel A shows the setup during testing. Experimenters were sitting behind the children in order to not distract them while supervising data collection. Panel B shows all elements contributing to an item of a possible test trial consisting of two choice options and one of two possible cues. Panel C exemplifies how two choice options and one of the cues were arranged for a specific test trial. Panel D shows a familiarization trial and Panel E shows a test trial."/>
            <wp:cNvGraphicFramePr/>
            <a:graphic xmlns:a="http://schemas.openxmlformats.org/drawingml/2006/main">
              <a:graphicData uri="http://schemas.openxmlformats.org/drawingml/2006/picture">
                <pic:pic xmlns:pic="http://schemas.openxmlformats.org/drawingml/2006/picture">
                  <pic:nvPicPr>
                    <pic:cNvPr id="26" name="Picture" descr="symlit_rep_manuscript_revision_2_files/2e1cef1994bed6c0f7b8e0dfead7e1c87b36aba6.png"/>
                    <pic:cNvPicPr>
                      <a:picLocks noChangeAspect="1" noChangeArrowheads="1"/>
                    </pic:cNvPicPr>
                  </pic:nvPicPr>
                  <pic:blipFill>
                    <a:blip r:embed="rId11"/>
                    <a:stretch>
                      <a:fillRect/>
                    </a:stretch>
                  </pic:blipFill>
                  <pic:spPr bwMode="auto">
                    <a:xfrm>
                      <a:off x="0" y="0"/>
                      <a:ext cx="5221789" cy="3287540"/>
                    </a:xfrm>
                    <a:prstGeom prst="rect">
                      <a:avLst/>
                    </a:prstGeom>
                    <a:noFill/>
                    <a:ln w="9525">
                      <a:noFill/>
                      <a:headEnd/>
                      <a:tailEnd/>
                    </a:ln>
                  </pic:spPr>
                </pic:pic>
              </a:graphicData>
            </a:graphic>
          </wp:inline>
        </w:drawing>
      </w:r>
    </w:p>
    <w:p w14:paraId="41A22F96" w14:textId="746602E5" w:rsidR="00B8759D" w:rsidRDefault="00000000" w:rsidP="00974926">
      <w:pPr>
        <w:pStyle w:val="ImageCaption"/>
        <w:spacing w:line="240" w:lineRule="auto"/>
        <w:jc w:val="both"/>
      </w:pPr>
      <w:bookmarkStart w:id="5" w:name="fig:plot-figure-setup"/>
      <w:bookmarkEnd w:id="5"/>
      <w:r>
        <w:rPr>
          <w:i/>
          <w:iCs/>
        </w:rPr>
        <w:t>Figure</w:t>
      </w:r>
      <w:r>
        <w:t xml:space="preserve"> 1. </w:t>
      </w:r>
      <w:r>
        <w:rPr>
          <w:i/>
          <w:iCs/>
        </w:rPr>
        <w:t>Setup, Stimuli and Trial Structure.</w:t>
      </w:r>
      <w:r>
        <w:t xml:space="preserve"> Panel A shows the setup during testing. Experimenters were sitting behind the children in order to not distract them. Panel B shows all elements contributing to an item of a possible test trial consisting of two choice options and one of two possible cues. Panel C exemplifies how two choice options and one of the cues were arranged for a specific test trial. Panel D shows a familiarization trial and Panel E shows a test trial.</w:t>
      </w:r>
    </w:p>
    <w:p w14:paraId="06086935" w14:textId="77777777" w:rsidR="00B8759D" w:rsidRDefault="00000000" w:rsidP="00974926">
      <w:pPr>
        <w:pStyle w:val="Textkrper"/>
        <w:spacing w:line="240" w:lineRule="auto"/>
        <w:jc w:val="both"/>
      </w:pPr>
      <w:r>
        <w:rPr>
          <w:b/>
          <w:bCs/>
        </w:rPr>
        <w:t>ALT-TEXT FIGURE 1</w:t>
      </w:r>
      <w:r>
        <w:t xml:space="preserve"> </w:t>
      </w:r>
      <w:r>
        <w:rPr>
          <w:i/>
          <w:iCs/>
        </w:rPr>
        <w:t>A set of illustrations labelled A to E with panel A showing how child and experimenter were seated during the study, Panel B showing the stimulus material for a specific trial, panel C illustrating how the stimuli were arranged on screen, and Panels D and E providing a picture-sequence of the steps in the familiarization and test trials.</w:t>
      </w:r>
    </w:p>
    <w:p w14:paraId="0BB8D652" w14:textId="4D02830D" w:rsidR="00B8759D" w:rsidRDefault="00000000" w:rsidP="00BF4828">
      <w:pPr>
        <w:pStyle w:val="Textkrper"/>
        <w:jc w:val="both"/>
      </w:pPr>
      <w:r>
        <w:rPr>
          <w:i/>
          <w:iCs/>
        </w:rPr>
        <w:lastRenderedPageBreak/>
        <w:t>Familiarization.</w:t>
      </w:r>
      <w:r>
        <w:t xml:space="preserve"> First, the experimental script introduced a cartoon monkey. This character placed two cups on the bottom left and right side of the screen. After holding up a banana, one of the barriers was lifted, the banana was placed underneath one of the cups and the barrier was lowered. Children were now prompted to touch the hiding place and in doing so the barrier of their choice was lifted to reveal the banana if they chose correctly. </w:t>
      </w:r>
      <w:r w:rsidR="00153AC7">
        <w:t>D</w:t>
      </w:r>
      <w:r w:rsidR="00153AC7">
        <w:t>uring the familiarization</w:t>
      </w:r>
      <w:r w:rsidR="00153AC7">
        <w:t>,</w:t>
      </w:r>
      <w:r w:rsidR="00153AC7">
        <w:t xml:space="preserve"> </w:t>
      </w:r>
      <w:r w:rsidR="00153AC7">
        <w:t>t</w:t>
      </w:r>
      <w:r>
        <w:t>he experimental script provided feedback upon children’s choice (“</w:t>
      </w:r>
      <w:r w:rsidR="00657465">
        <w:t>Y</w:t>
      </w:r>
      <w:r>
        <w:t>es, great job!”; “No, that’s not it. Let’s try again!”</w:t>
      </w:r>
      <w:r w:rsidR="00153AC7">
        <w:t xml:space="preserve">; </w:t>
      </w:r>
      <w:r w:rsidR="00345C21">
        <w:t>F</w:t>
      </w:r>
      <w:r>
        <w:t xml:space="preserve">igure 1 D). To ensure that children were familiar with the goal of the game and the touch interface, they first had to complete a set of four to eight familiarization trials with a success rate of 75%. In case a child did not reply correctly in three out of four trials, another four familiarization trials were provided. If the child was correct in six out of eight trials, she was included in the main sample. Children that did not succeed were allowed to participate but their data </w:t>
      </w:r>
      <w:r w:rsidR="00345C21">
        <w:t xml:space="preserve">were </w:t>
      </w:r>
      <w:r>
        <w:t>not submitted to analysis.</w:t>
      </w:r>
    </w:p>
    <w:p w14:paraId="4D02C6E1" w14:textId="5066A40D" w:rsidR="00B8759D" w:rsidRDefault="00000000" w:rsidP="00BF4828">
      <w:pPr>
        <w:pStyle w:val="Textkrper"/>
        <w:jc w:val="both"/>
      </w:pPr>
      <w:r>
        <w:rPr>
          <w:i/>
          <w:iCs/>
        </w:rPr>
        <w:t>Test.</w:t>
      </w:r>
      <w:r>
        <w:t xml:space="preserve"> The main phase of the study commenced with announcing that the cartoon character had an idea for a new game. Now, children were not allowed to see where the banana would be hidden, but that the monkey would help them find it. The cartoon character was established as a knowledgeable and benevolent partner in a cooperative coordination game (“Coco is going to help you find the banana. Coco is drawing something for you.”). After the hiding phase, the monkey held up a piece of paper and a pencil. Pencil movement and a short scribble sound indicated that the monkey was drawing. Finally, participants were prompted with the phrase “Where is the banana?” and the monkey’s drawing was placed in the center between the two hiding places. The drawing served as a cue to guide children’s choice. Children’s choice was acknowledged with neutral feedback (“Ah, thank you”) leading to the next trial (</w:t>
      </w:r>
      <w:r w:rsidR="00345C21">
        <w:t>F</w:t>
      </w:r>
      <w:r>
        <w:t>igure 1 E).</w:t>
      </w:r>
    </w:p>
    <w:p w14:paraId="7E947D53" w14:textId="48A4C622" w:rsidR="00B8759D" w:rsidRDefault="00000000" w:rsidP="00BF4828">
      <w:pPr>
        <w:pStyle w:val="Textkrper"/>
        <w:jc w:val="both"/>
      </w:pPr>
      <w:r>
        <w:lastRenderedPageBreak/>
        <w:t>A single trial lasted roughly 20 to 60 seconds. Unique combinations of graphic displays were used on every trial for a maximum of 16 test trials. Test sessions lasted about 12 minutes in total. Children occasionally wished to stop before completing all trials, resulting in minor deviations of the total number of trials per condition that were submitted to analysis. For an overview of the average number of trials</w:t>
      </w:r>
      <w:r w:rsidR="003A24FA">
        <w:t xml:space="preserve"> that</w:t>
      </w:r>
      <w:r>
        <w:t xml:space="preserve"> participants received in each condition, see</w:t>
      </w:r>
      <w:r w:rsidR="00B02A8F">
        <w:t xml:space="preserve"> </w:t>
      </w:r>
      <w:r w:rsidR="00B02A8F">
        <w:t>online</w:t>
      </w:r>
      <w:r>
        <w:t xml:space="preserve"> supplementary </w:t>
      </w:r>
      <w:r w:rsidR="00CB2743">
        <w:t>Table 2</w:t>
      </w:r>
      <w:r>
        <w:t>. In line with the preregistration, children had to complete a minimum of eight test trials to be included in analysis.</w:t>
      </w:r>
    </w:p>
    <w:p w14:paraId="2198E652" w14:textId="77777777" w:rsidR="00B8759D" w:rsidRDefault="00000000" w:rsidP="00BF4828">
      <w:pPr>
        <w:pStyle w:val="berschrift2"/>
        <w:jc w:val="both"/>
      </w:pPr>
      <w:bookmarkStart w:id="6" w:name="stimuli-and-counterbalancing"/>
      <w:bookmarkEnd w:id="4"/>
      <w:r>
        <w:t>Stimuli and Counterbalancing</w:t>
      </w:r>
    </w:p>
    <w:p w14:paraId="01C8935C" w14:textId="690432F6" w:rsidR="00B8759D" w:rsidRDefault="00000000" w:rsidP="00BF4828">
      <w:pPr>
        <w:pStyle w:val="FirstParagraph"/>
        <w:jc w:val="both"/>
      </w:pPr>
      <w:r>
        <w:t xml:space="preserve">Children were tested with four conditions exemplifying different symbol-referent relationships. The order of conditions was counterbalanced across participants. For each condition, four sets of stimuli were designed, consisting of two blue shapes serving as target or distractor, and two drawings that could serve as cues. The </w:t>
      </w:r>
      <w:r w:rsidR="00853483">
        <w:t>choice options</w:t>
      </w:r>
      <w:r>
        <w:t xml:space="preserve"> in the hiding game were designed to saliently differ in one relevant dimension and to be as similar as possible with regard to other features. The cues were reduced and less straight-lined graphic displays akin to hand drawings and matching either choice option. Across participants the same choice options served equally often as targets and distractors. Across children, the position (left/right) of the target, and the identity of the cue were counterbalanced. For an illustration of trial composition, see </w:t>
      </w:r>
      <w:r w:rsidR="00345C21">
        <w:t>F</w:t>
      </w:r>
      <w:r>
        <w:t xml:space="preserve">igure 1 B and C. For each condition, four stimulus versions were created with two variations each. For an example, consider </w:t>
      </w:r>
      <w:r w:rsidR="00345C21">
        <w:t>F</w:t>
      </w:r>
      <w:r>
        <w:t xml:space="preserve">igure 3. The first box in Panel B shows all stimuli for the </w:t>
      </w:r>
      <w:r>
        <w:rPr>
          <w:i/>
          <w:iCs/>
        </w:rPr>
        <w:t>Representation</w:t>
      </w:r>
      <w:r>
        <w:t xml:space="preserve"> condition. The first column exemplifies a set of targets (a blue square and circle) and cues (outline drawings of a square and circle). During test, children saw each trial combination only once and with only one of the two possible cues.</w:t>
      </w:r>
    </w:p>
    <w:p w14:paraId="06C9F369" w14:textId="5962E22D" w:rsidR="00BF4828" w:rsidRDefault="00000000" w:rsidP="00BF4828">
      <w:pPr>
        <w:pStyle w:val="Textkrper"/>
        <w:jc w:val="both"/>
      </w:pPr>
      <w:r>
        <w:lastRenderedPageBreak/>
        <w:t xml:space="preserve">To make the four conditions in </w:t>
      </w:r>
      <w:r w:rsidR="00B046BA">
        <w:t>S</w:t>
      </w:r>
      <w:r>
        <w:t>tudy 1 as comparable as possible, they were all employing the same target stimuli (</w:t>
      </w:r>
      <w:r w:rsidR="00345C21">
        <w:t>F</w:t>
      </w:r>
      <w:r>
        <w:t xml:space="preserve">igure 2). In the condition </w:t>
      </w:r>
      <w:r>
        <w:rPr>
          <w:i/>
          <w:iCs/>
        </w:rPr>
        <w:t>Representation,</w:t>
      </w:r>
      <w:r>
        <w:t xml:space="preserve"> the graphical cue was an outline drawing of the target. The second condition, </w:t>
      </w:r>
      <w:r>
        <w:rPr>
          <w:i/>
          <w:iCs/>
        </w:rPr>
        <w:t>Pars Pro Toto,</w:t>
      </w:r>
      <w:r>
        <w:t xml:space="preserve"> </w:t>
      </w:r>
      <w:r w:rsidR="00E2411F">
        <w:t>referred</w:t>
      </w:r>
      <w:r>
        <w:t xml:space="preserve"> to the targets by means of a part-whole relationship. This required children to complete the shapes according to gestalt principles. While this was easiest in the first two items of </w:t>
      </w:r>
      <w:r>
        <w:rPr>
          <w:i/>
          <w:iCs/>
        </w:rPr>
        <w:t>Pars pro Toto</w:t>
      </w:r>
      <w:r>
        <w:t xml:space="preserve"> due to the canonical shapes (square, circle) it was less obvious with the less canonical shapes albeit they were vertically and horizontally symmetrical on purpose (cf. 2 B, box 2). Two further conditions aimed to abstract from the original representational symbol-referent relationship by providing graphical analogies in form. In both </w:t>
      </w:r>
      <w:r>
        <w:rPr>
          <w:i/>
          <w:iCs/>
        </w:rPr>
        <w:t>Simple Form Analogy</w:t>
      </w:r>
      <w:r>
        <w:t xml:space="preserve"> and </w:t>
      </w:r>
      <w:r>
        <w:rPr>
          <w:i/>
          <w:iCs/>
        </w:rPr>
        <w:t>Complex Form Analogy</w:t>
      </w:r>
      <w:r w:rsidR="00345C21">
        <w:rPr>
          <w:i/>
          <w:iCs/>
        </w:rPr>
        <w:t>,</w:t>
      </w:r>
      <w:r>
        <w:t xml:space="preserve"> the cue was an abstract line drawing being more round or rectangular, thereby referring to either the round or rectangular equivalent of the target shapes. As this has not been done before in developmental research, our aim was to provide two versions of form </w:t>
      </w:r>
      <w:r w:rsidR="00853483">
        <w:t>analogies,</w:t>
      </w:r>
      <w:r>
        <w:t xml:space="preserve"> both supporting children’s comprehension in distinct ways. In </w:t>
      </w:r>
      <w:r>
        <w:rPr>
          <w:i/>
          <w:iCs/>
        </w:rPr>
        <w:t>Simple Form Analogy</w:t>
      </w:r>
      <w:r>
        <w:t xml:space="preserve">, the cues are less dense and therefore simpler to grasp, whereas the more complex versions in </w:t>
      </w:r>
      <w:r>
        <w:rPr>
          <w:i/>
          <w:iCs/>
        </w:rPr>
        <w:t>Complex Form Analogy</w:t>
      </w:r>
      <w:r>
        <w:t xml:space="preserve"> provide more information. For an overview of all stimuli employed in Study 1, see </w:t>
      </w:r>
      <w:r w:rsidR="00345C21">
        <w:t>F</w:t>
      </w:r>
      <w:r>
        <w:t>igure 2.</w:t>
      </w:r>
    </w:p>
    <w:p w14:paraId="52BDCE57" w14:textId="736C500E" w:rsidR="00B8759D" w:rsidRDefault="00BF4828" w:rsidP="00BF4828">
      <w:pPr>
        <w:spacing w:before="0" w:after="200" w:line="240" w:lineRule="auto"/>
      </w:pPr>
      <w:r>
        <w:br w:type="page"/>
      </w:r>
    </w:p>
    <w:p w14:paraId="0C8BC576" w14:textId="77777777" w:rsidR="00B8759D" w:rsidRDefault="00000000" w:rsidP="00BF4828">
      <w:pPr>
        <w:pStyle w:val="CaptionedFigure"/>
        <w:framePr w:wrap="notBeside"/>
        <w:jc w:val="both"/>
      </w:pPr>
      <w:r>
        <w:rPr>
          <w:noProof/>
        </w:rPr>
        <w:lastRenderedPageBreak/>
        <w:drawing>
          <wp:inline distT="0" distB="0" distL="0" distR="0" wp14:anchorId="4BE614D1" wp14:editId="54B97948">
            <wp:extent cx="5670550" cy="1852789"/>
            <wp:effectExtent l="0" t="0" r="0" b="0"/>
            <wp:docPr id="30" name="Picture" descr="Figure 2: Stimuli for Study 1. Panels illustrate (A) an example stimulus combination (distractor, cue, target), and (B) all items of the four conditions with targets in blue and cues as drawings."/>
            <wp:cNvGraphicFramePr/>
            <a:graphic xmlns:a="http://schemas.openxmlformats.org/drawingml/2006/main">
              <a:graphicData uri="http://schemas.openxmlformats.org/drawingml/2006/picture">
                <pic:pic xmlns:pic="http://schemas.openxmlformats.org/drawingml/2006/picture">
                  <pic:nvPicPr>
                    <pic:cNvPr id="31" name="Picture" descr="symlit_rep_manuscript_revision_2_files/f1777b2d2272fd4e48beea088c405b3c39874e50.png"/>
                    <pic:cNvPicPr>
                      <a:picLocks noChangeAspect="1" noChangeArrowheads="1"/>
                    </pic:cNvPicPr>
                  </pic:nvPicPr>
                  <pic:blipFill>
                    <a:blip r:embed="rId12"/>
                    <a:stretch>
                      <a:fillRect/>
                    </a:stretch>
                  </pic:blipFill>
                  <pic:spPr bwMode="auto">
                    <a:xfrm>
                      <a:off x="0" y="0"/>
                      <a:ext cx="5670550" cy="1852789"/>
                    </a:xfrm>
                    <a:prstGeom prst="rect">
                      <a:avLst/>
                    </a:prstGeom>
                    <a:noFill/>
                    <a:ln w="9525">
                      <a:noFill/>
                      <a:headEnd/>
                      <a:tailEnd/>
                    </a:ln>
                  </pic:spPr>
                </pic:pic>
              </a:graphicData>
            </a:graphic>
          </wp:inline>
        </w:drawing>
      </w:r>
    </w:p>
    <w:p w14:paraId="692300D2" w14:textId="77777777" w:rsidR="00B8759D" w:rsidRDefault="00000000" w:rsidP="00E2411F">
      <w:pPr>
        <w:pStyle w:val="ImageCaption"/>
        <w:spacing w:line="240" w:lineRule="auto"/>
        <w:jc w:val="both"/>
      </w:pPr>
      <w:bookmarkStart w:id="7" w:name="fig:plot-study1stimuli"/>
      <w:bookmarkEnd w:id="7"/>
      <w:r>
        <w:rPr>
          <w:i/>
          <w:iCs/>
        </w:rPr>
        <w:t>Figure</w:t>
      </w:r>
      <w:r>
        <w:t xml:space="preserve"> 2. </w:t>
      </w:r>
      <w:r>
        <w:rPr>
          <w:i/>
          <w:iCs/>
        </w:rPr>
        <w:t>Stimuli for Study 1.</w:t>
      </w:r>
      <w:r>
        <w:t xml:space="preserve"> Panels illustrate (A) an example stimulus combination (distractor, cue, target), and (B) all items of the four conditions with targets in blue and cues as drawings.</w:t>
      </w:r>
    </w:p>
    <w:p w14:paraId="7EE35560" w14:textId="529D02A2" w:rsidR="00B8759D" w:rsidRDefault="00000000" w:rsidP="00E2411F">
      <w:pPr>
        <w:pStyle w:val="Textkrper"/>
        <w:spacing w:line="240" w:lineRule="auto"/>
        <w:jc w:val="both"/>
      </w:pPr>
      <w:r>
        <w:rPr>
          <w:b/>
          <w:bCs/>
        </w:rPr>
        <w:t>ALT-TEXT FIGURE 2</w:t>
      </w:r>
      <w:r>
        <w:t xml:space="preserve"> </w:t>
      </w:r>
      <w:r>
        <w:rPr>
          <w:i/>
          <w:iCs/>
        </w:rPr>
        <w:t xml:space="preserve">A panel of illustrations of the stimulus material used in </w:t>
      </w:r>
      <w:r w:rsidR="00E2411F">
        <w:rPr>
          <w:i/>
          <w:iCs/>
        </w:rPr>
        <w:t>S</w:t>
      </w:r>
      <w:r>
        <w:rPr>
          <w:i/>
          <w:iCs/>
        </w:rPr>
        <w:t>tudy 1. The top-row shows an example for a specific trial (cue, target, distractor), the second row has 4x4 matrices with all stimuli of the conditions.</w:t>
      </w:r>
    </w:p>
    <w:p w14:paraId="724F3C0F" w14:textId="77777777" w:rsidR="00B8759D" w:rsidRDefault="00000000" w:rsidP="00BF4828">
      <w:pPr>
        <w:pStyle w:val="berschrift2"/>
        <w:jc w:val="both"/>
      </w:pPr>
      <w:bookmarkStart w:id="8" w:name="data-handling-and-analyses"/>
      <w:bookmarkEnd w:id="6"/>
      <w:r>
        <w:t>Data Handling and Analyses</w:t>
      </w:r>
    </w:p>
    <w:p w14:paraId="64BFF2C6" w14:textId="1066156B" w:rsidR="00B8759D" w:rsidRDefault="00000000" w:rsidP="00BF4828">
      <w:pPr>
        <w:pStyle w:val="FirstParagraph"/>
        <w:jc w:val="both"/>
      </w:pPr>
      <w:r>
        <w:t>Upon touching the screen, children’s choices were logged and immediately coded as correct or incorrect by the code running the stimulus presentation. To evaluate how children’s ability to interpret cues varie</w:t>
      </w:r>
      <w:r w:rsidR="000F482B">
        <w:t>d</w:t>
      </w:r>
      <w:r>
        <w:t xml:space="preserve"> by age and condition, we employed Bayesian Logistic Generalized Linear Mixed Models (GLMMs). This mode of analysis is appropriate as it allows to estimate the probability of success while accounting for uncertainty and individual differences, and because it allows mapping linear predictors to a probability between 0 and 1 via a link function. Our analyses modeled children’s binary choices (correct vs. incorrect) using fixed effects for condition and age, as well as their interaction as primary predictors. In addition, we included a fixed effect of trial number, to control for learning or fatigue, and a fixed effect of sex. To account for the possibility that some children may be better at the task than others, we included random intercepts for each participant. We also included random slopes for trial number, allowing potential effects of learning or fatigue to vary from child to child. To facilitate </w:t>
      </w:r>
      <w:r>
        <w:lastRenderedPageBreak/>
        <w:t xml:space="preserve">processing and interpretability, age and trial number were standardized to a natural mean of 0 prior to modeling. The full model notation was </w:t>
      </w:r>
      <w:r>
        <w:rPr>
          <w:rStyle w:val="VerbatimChar"/>
        </w:rPr>
        <w:t xml:space="preserve">correct ~ condition*z.age + z.trial + sex + (z.trial | </w:t>
      </w:r>
      <w:proofErr w:type="spellStart"/>
      <w:r>
        <w:rPr>
          <w:rStyle w:val="VerbatimChar"/>
        </w:rPr>
        <w:t>subid</w:t>
      </w:r>
      <w:proofErr w:type="spellEnd"/>
      <w:r>
        <w:rPr>
          <w:rStyle w:val="VerbatimChar"/>
        </w:rPr>
        <w:t>)</w:t>
      </w:r>
      <w:r>
        <w:t xml:space="preserve">. We evaluated the relevance of age and condition for children’s performance prior to interpreting coefficients. For this, the full model outlined above was compared with a reduced model lacking the interaction of age and condition. To assess the fit and relative explanatory power of either model, we used the Widely Applicable Information Criterion (WAIC) scores and weights (McElreath, 2018) as well as the difference in Expected Log Predictive Density (ELPD) via the function </w:t>
      </w:r>
      <w:r>
        <w:rPr>
          <w:i/>
          <w:iCs/>
        </w:rPr>
        <w:t>loo_compare</w:t>
      </w:r>
      <w:r>
        <w:t xml:space="preserve"> (Sivula</w:t>
      </w:r>
      <w:r w:rsidR="004D5D20">
        <w:t xml:space="preserve"> et al. 2025</w:t>
      </w:r>
      <w:r>
        <w:t xml:space="preserve">). Model estimates were inspected for the different predictors including their 95% Credible Interval (CrI). </w:t>
      </w:r>
      <w:r>
        <w:rPr>
          <w:i/>
          <w:iCs/>
        </w:rPr>
        <w:t>Representation</w:t>
      </w:r>
      <w:r>
        <w:t xml:space="preserve"> was hypothesized to be the </w:t>
      </w:r>
      <w:r w:rsidR="00853483">
        <w:t>simplest</w:t>
      </w:r>
      <w:r>
        <w:t xml:space="preserve"> and was set as the reference level within conditions. All models were implemented in Stan (Stan Development Team, n.d.) via the function </w:t>
      </w:r>
      <w:r>
        <w:rPr>
          <w:i/>
          <w:iCs/>
        </w:rPr>
        <w:t>brm</w:t>
      </w:r>
      <w:r>
        <w:t xml:space="preserve"> of the package </w:t>
      </w:r>
      <w:r>
        <w:rPr>
          <w:i/>
          <w:iCs/>
        </w:rPr>
        <w:t>brms</w:t>
      </w:r>
      <w:r>
        <w:t xml:space="preserve"> (Bürkner, 2017).</w:t>
      </w:r>
    </w:p>
    <w:p w14:paraId="32D1825A" w14:textId="29930921" w:rsidR="00B8759D" w:rsidRDefault="00334BCD" w:rsidP="00BF4828">
      <w:pPr>
        <w:pStyle w:val="Textkrper"/>
        <w:jc w:val="both"/>
      </w:pPr>
      <w:r>
        <w:t xml:space="preserve">To answer our main research question of when children as a group perform above chance in each condition, we followed the approach of House and colleagues (House et al., 2013) and plotted the model estimates as a smoothed curve surrounded by Credible Intervals (CrI). We generated developmental trajectories with 95% CrIs from the posterior predicted distribution via the function </w:t>
      </w:r>
      <w:r>
        <w:rPr>
          <w:i/>
          <w:iCs/>
        </w:rPr>
        <w:t>fitted</w:t>
      </w:r>
      <w:r>
        <w:t xml:space="preserve"> and plotted them with children’s age on the horizontal axis and the probability of correct choices on the vertical axis. Chance level was marked via a 50% chance line for orientation. Children as a group were considered to perform above chance only when the lower bound of the 95% CrI no longer overlapped with the 50% chance line (e.g. </w:t>
      </w:r>
      <w:r w:rsidR="00ED107F">
        <w:t>F</w:t>
      </w:r>
      <w:r>
        <w:t>igures 3, 5, and 7). Thereby, we can estimate a month of age for each condition that anchors an approximate developmental window during which children are likely to master the symbol-referent-relationship in question. As we are testing all conditions in a within-subjects-design, these estimates are especially helpful for evaluating the relative difficulty of the different conditions.</w:t>
      </w:r>
    </w:p>
    <w:p w14:paraId="2A828A2B" w14:textId="2DAEC489" w:rsidR="00B8759D" w:rsidRDefault="00000000" w:rsidP="00BF4828">
      <w:pPr>
        <w:pStyle w:val="Textkrper"/>
        <w:jc w:val="both"/>
      </w:pPr>
      <w:r>
        <w:lastRenderedPageBreak/>
        <w:t xml:space="preserve">All analyses and our hypotheses about the relative difficulty of conditions were preregistered prior to data collection. However, the specific age-point predictions are exploratory, and our use of ELPD for model comparison (Sivula et al., 2020) represents a modern refinement over the methods available at the time of preregistration. To additionally evaluate variability at the level of the items tested, additional exploratory analyses included item level random effects (Model notation </w:t>
      </w:r>
      <w:r>
        <w:rPr>
          <w:rStyle w:val="VerbatimChar"/>
        </w:rPr>
        <w:t>correct ~ condition*z.age +z.trial +z.sex +(</w:t>
      </w:r>
      <w:proofErr w:type="spellStart"/>
      <w:r>
        <w:rPr>
          <w:rStyle w:val="VerbatimChar"/>
        </w:rPr>
        <w:t>z.trial|id</w:t>
      </w:r>
      <w:proofErr w:type="spellEnd"/>
      <w:r>
        <w:rPr>
          <w:rStyle w:val="VerbatimChar"/>
        </w:rPr>
        <w:t>) +(</w:t>
      </w:r>
      <w:proofErr w:type="spellStart"/>
      <w:r>
        <w:rPr>
          <w:rStyle w:val="VerbatimChar"/>
        </w:rPr>
        <w:t>z.age|item</w:t>
      </w:r>
      <w:proofErr w:type="spellEnd"/>
      <w:r>
        <w:rPr>
          <w:rStyle w:val="VerbatimChar"/>
        </w:rPr>
        <w:t>)</w:t>
      </w:r>
      <w:r>
        <w:t>). For brevity, tables outlining the coefficients for the final models were moved to the</w:t>
      </w:r>
      <w:r w:rsidR="00B02A8F">
        <w:t xml:space="preserve"> </w:t>
      </w:r>
      <w:r w:rsidR="00B02A8F">
        <w:t>online</w:t>
      </w:r>
      <w:r>
        <w:t xml:space="preserve"> supplementary materials along with the exploratory item-level analyses. The supplements also provide conventional analyses binning participants according to their age in years for readers that are less familiar with the analyses described above. In the supplements, two-tailed one-sample t-tests with a chance level set to .5 were computed for participants binned according to year of age. Here, Cohen’s </w:t>
      </w:r>
      <w:r>
        <w:rPr>
          <w:i/>
          <w:iCs/>
        </w:rPr>
        <w:t>d</w:t>
      </w:r>
      <w:r>
        <w:t xml:space="preserve"> is provided as a standardized effect size for significance testing.</w:t>
      </w:r>
    </w:p>
    <w:p w14:paraId="6CFB546F" w14:textId="77777777" w:rsidR="00B8759D" w:rsidRDefault="00000000" w:rsidP="00BF4828">
      <w:pPr>
        <w:pStyle w:val="berschrift2"/>
        <w:jc w:val="both"/>
      </w:pPr>
      <w:bookmarkStart w:id="9" w:name="results"/>
      <w:bookmarkEnd w:id="8"/>
      <w:r>
        <w:t>Results</w:t>
      </w:r>
    </w:p>
    <w:p w14:paraId="00E304BD" w14:textId="777BEDA5" w:rsidR="00B8759D" w:rsidRDefault="00000000" w:rsidP="00BF4828">
      <w:pPr>
        <w:pStyle w:val="FirstParagraph"/>
        <w:jc w:val="both"/>
      </w:pPr>
      <w:r>
        <w:t>Model diagnostics indicated convergence, excellent fit</w:t>
      </w:r>
      <w:r w:rsidR="00ED107F">
        <w:t>,</w:t>
      </w:r>
      <w:r>
        <w:t xml:space="preserve"> and reliable posterior estimates for both full and null model with comparable WAIC and ELPD results (see</w:t>
      </w:r>
      <w:r w:rsidR="00B02A8F">
        <w:t xml:space="preserve"> online</w:t>
      </w:r>
      <w:r>
        <w:t xml:space="preserve"> supplement</w:t>
      </w:r>
      <w:r w:rsidR="00ED107F">
        <w:t>al materials</w:t>
      </w:r>
      <w:r>
        <w:t xml:space="preserve"> for detailed results). In the absence of substantial differences, results from the full model are reported below in line with the preregistration. Relative to the </w:t>
      </w:r>
      <w:r>
        <w:rPr>
          <w:i/>
          <w:iCs/>
        </w:rPr>
        <w:t>Representation</w:t>
      </w:r>
      <w:r>
        <w:t xml:space="preserve"> condition, the </w:t>
      </w:r>
      <w:r>
        <w:rPr>
          <w:i/>
          <w:iCs/>
        </w:rPr>
        <w:t>Simple Form Analogy</w:t>
      </w:r>
      <w:r>
        <w:t xml:space="preserve"> (</w:t>
      </w:r>
      <m:oMath>
        <m:r>
          <w:rPr>
            <w:rFonts w:ascii="Cambria Math" w:hAnsi="Cambria Math"/>
          </w:rPr>
          <m:t>β</m:t>
        </m:r>
      </m:oMath>
      <w:r>
        <w:t xml:space="preserve"> = -1.39, 95% CrI [-1.75, -1.03]) and </w:t>
      </w:r>
      <w:r>
        <w:rPr>
          <w:i/>
          <w:iCs/>
        </w:rPr>
        <w:t>Complex Form Analogy</w:t>
      </w:r>
      <w:r>
        <w:t xml:space="preserve"> (</w:t>
      </w:r>
      <m:oMath>
        <m:r>
          <w:rPr>
            <w:rFonts w:ascii="Cambria Math" w:hAnsi="Cambria Math"/>
          </w:rPr>
          <m:t>β</m:t>
        </m:r>
      </m:oMath>
      <w:r>
        <w:t xml:space="preserve"> = -1.36, 95% CrI [-1.73, -1.00]) have a considerably lower probability of correct responses. The </w:t>
      </w:r>
      <w:r>
        <w:rPr>
          <w:i/>
          <w:iCs/>
        </w:rPr>
        <w:t>Pars Pro Toto</w:t>
      </w:r>
      <w:r>
        <w:t xml:space="preserve"> condition has no clear difference from the </w:t>
      </w:r>
      <w:r>
        <w:rPr>
          <w:i/>
          <w:iCs/>
        </w:rPr>
        <w:t>Representation</w:t>
      </w:r>
      <w:r>
        <w:t xml:space="preserve"> condition (</w:t>
      </w:r>
      <m:oMath>
        <m:r>
          <w:rPr>
            <w:rFonts w:ascii="Cambria Math" w:hAnsi="Cambria Math"/>
          </w:rPr>
          <m:t>β</m:t>
        </m:r>
      </m:oMath>
      <w:r>
        <w:t xml:space="preserve"> = -0.14, 95% CrI [-0.54, 0.28]). Interaction effects with age were not relevant with the exception of </w:t>
      </w:r>
      <w:r>
        <w:rPr>
          <w:i/>
          <w:iCs/>
        </w:rPr>
        <w:t>Pars Pro Toto</w:t>
      </w:r>
      <w:r>
        <w:t xml:space="preserve">. Here, the interaction with age was positive and just above zero </w:t>
      </w:r>
      <w:r>
        <w:lastRenderedPageBreak/>
        <w:t>(</w:t>
      </w:r>
      <m:oMath>
        <m:r>
          <w:rPr>
            <w:rFonts w:ascii="Cambria Math" w:hAnsi="Cambria Math"/>
          </w:rPr>
          <m:t>β</m:t>
        </m:r>
      </m:oMath>
      <w:r>
        <w:t xml:space="preserve"> = 0.30, 95% CrI [-0.05, 0.67]), suggesting that performance increased more steeply across the age range than in the </w:t>
      </w:r>
      <w:r>
        <w:rPr>
          <w:i/>
          <w:iCs/>
        </w:rPr>
        <w:t>Representation</w:t>
      </w:r>
      <w:r>
        <w:t xml:space="preserve"> condition</w:t>
      </w:r>
      <w:r>
        <w:rPr>
          <w:i/>
          <w:iCs/>
        </w:rPr>
        <w:t>.</w:t>
      </w:r>
      <w:r>
        <w:t xml:space="preserve"> Generally, participants’ performance improved with age in all conditions (</w:t>
      </w:r>
      <m:oMath>
        <m:r>
          <w:rPr>
            <w:rFonts w:ascii="Cambria Math" w:hAnsi="Cambria Math"/>
          </w:rPr>
          <m:t>β</m:t>
        </m:r>
      </m:oMath>
      <w:r>
        <w:t xml:space="preserve"> = 0.42, 95% CrI [0.13, 0.72]). In contrast, trial number has no clear effect on performance (</w:t>
      </w:r>
      <m:oMath>
        <m:r>
          <w:rPr>
            <w:rFonts w:ascii="Cambria Math" w:hAnsi="Cambria Math"/>
          </w:rPr>
          <m:t>β</m:t>
        </m:r>
      </m:oMath>
      <w:r>
        <w:t xml:space="preserve"> = -0.01, 95% CrI [-0.15, 0.12]), suggesting no evidence for learning or fatigue throughout the test session. For a side-by-side comparison of the developmental trajectories in the four conditions of </w:t>
      </w:r>
      <w:r w:rsidR="00B046BA">
        <w:t>S</w:t>
      </w:r>
      <w:r>
        <w:t xml:space="preserve">tudy 1 and estimates for the ages of success, see </w:t>
      </w:r>
      <w:r w:rsidR="00694C97">
        <w:t>F</w:t>
      </w:r>
      <w:r>
        <w:t>igure 3.</w:t>
      </w:r>
    </w:p>
    <w:p w14:paraId="2039750B" w14:textId="77777777" w:rsidR="00B8759D" w:rsidRDefault="00000000" w:rsidP="00BF4828">
      <w:pPr>
        <w:pStyle w:val="CaptionedFigure"/>
        <w:framePr w:wrap="notBeside"/>
        <w:jc w:val="both"/>
      </w:pPr>
      <w:r>
        <w:rPr>
          <w:noProof/>
        </w:rPr>
        <w:drawing>
          <wp:inline distT="0" distB="0" distL="0" distR="0" wp14:anchorId="6A6E9373" wp14:editId="424D3C0F">
            <wp:extent cx="6565889" cy="2550567"/>
            <wp:effectExtent l="0" t="0" r="0" b="0"/>
            <wp:docPr id="36" name="Picture" descr="Figure 3: Developmental Trajectories for Study 1. 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symlit_rep_manuscript_revision_2_files/dd81a1758d60bd5324ba305112a2e4f3fdbe8b7e.png"/>
                    <pic:cNvPicPr>
                      <a:picLocks noChangeAspect="1" noChangeArrowheads="1"/>
                    </pic:cNvPicPr>
                  </pic:nvPicPr>
                  <pic:blipFill>
                    <a:blip r:embed="rId13"/>
                    <a:stretch>
                      <a:fillRect/>
                    </a:stretch>
                  </pic:blipFill>
                  <pic:spPr bwMode="auto">
                    <a:xfrm>
                      <a:off x="0" y="0"/>
                      <a:ext cx="6569311" cy="2551896"/>
                    </a:xfrm>
                    <a:prstGeom prst="rect">
                      <a:avLst/>
                    </a:prstGeom>
                    <a:noFill/>
                    <a:ln w="9525">
                      <a:noFill/>
                      <a:headEnd/>
                      <a:tailEnd/>
                    </a:ln>
                  </pic:spPr>
                </pic:pic>
              </a:graphicData>
            </a:graphic>
          </wp:inline>
        </w:drawing>
      </w:r>
    </w:p>
    <w:p w14:paraId="574BEB2E" w14:textId="16084532" w:rsidR="00B8759D" w:rsidRDefault="00000000" w:rsidP="00974926">
      <w:pPr>
        <w:pStyle w:val="ImageCaption"/>
        <w:spacing w:line="240" w:lineRule="auto"/>
        <w:jc w:val="both"/>
      </w:pPr>
      <w:bookmarkStart w:id="10" w:name="fig:plot-study1"/>
      <w:bookmarkEnd w:id="10"/>
      <w:r>
        <w:rPr>
          <w:i/>
          <w:iCs/>
        </w:rPr>
        <w:t>Figure</w:t>
      </w:r>
      <w:r>
        <w:t xml:space="preserve"> 3. </w:t>
      </w:r>
      <w:r>
        <w:rPr>
          <w:i/>
          <w:iCs/>
        </w:rPr>
        <w:t>Developmental Trajectories for Study 1.</w:t>
      </w:r>
      <w:r>
        <w:t xml:space="preserve"> Transparent dots represent individual means for participants. Colored lines indicate smoothed mean performance by age. Shaded areas represent 95% CrIs. The dashed line demarcates chance level. The colored dots and annotations indicate when children’s performance exceeds chance level. Overlays provide example stimuli for each condition.</w:t>
      </w:r>
    </w:p>
    <w:p w14:paraId="168A344B" w14:textId="6C7EAF41" w:rsidR="00B8759D" w:rsidRDefault="00000000" w:rsidP="00974926">
      <w:pPr>
        <w:pStyle w:val="Textkrper"/>
        <w:spacing w:line="240" w:lineRule="auto"/>
        <w:jc w:val="both"/>
      </w:pPr>
      <w:r>
        <w:rPr>
          <w:b/>
          <w:bCs/>
        </w:rPr>
        <w:t>ALT-TEXT FIGURE 3</w:t>
      </w:r>
      <w:r>
        <w:t xml:space="preserve"> </w:t>
      </w:r>
      <w:r>
        <w:rPr>
          <w:i/>
          <w:iCs/>
        </w:rPr>
        <w:t xml:space="preserve">A panel of illustrations providing results and example stimuli for all four experimental conditions in </w:t>
      </w:r>
      <w:r w:rsidR="00B046BA">
        <w:rPr>
          <w:i/>
          <w:iCs/>
        </w:rPr>
        <w:t>Study</w:t>
      </w:r>
      <w:r>
        <w:rPr>
          <w:i/>
          <w:iCs/>
        </w:rPr>
        <w:t xml:space="preserve"> 1. Smoothed lines show developmental trajectories as the proportion of correct choices against children’s ages.</w:t>
      </w:r>
    </w:p>
    <w:p w14:paraId="160432C2" w14:textId="77777777" w:rsidR="00CD3FE6" w:rsidRDefault="00CD3FE6">
      <w:pPr>
        <w:spacing w:before="0" w:after="200" w:line="240" w:lineRule="auto"/>
        <w:rPr>
          <w:rFonts w:eastAsiaTheme="majorEastAsia" w:cstheme="majorBidi"/>
          <w:b/>
          <w:szCs w:val="32"/>
        </w:rPr>
      </w:pPr>
      <w:bookmarkStart w:id="11" w:name="discussion"/>
      <w:bookmarkEnd w:id="9"/>
      <w:r>
        <w:br w:type="page"/>
      </w:r>
    </w:p>
    <w:p w14:paraId="4F04E4AE" w14:textId="32E854A6" w:rsidR="00B8759D" w:rsidRDefault="00000000" w:rsidP="00ED107F">
      <w:pPr>
        <w:pStyle w:val="berschrift2"/>
        <w:jc w:val="both"/>
      </w:pPr>
      <w:r>
        <w:lastRenderedPageBreak/>
        <w:t>Discussion</w:t>
      </w:r>
    </w:p>
    <w:p w14:paraId="4580DAD7" w14:textId="77777777" w:rsidR="00ED107F" w:rsidRDefault="00000000" w:rsidP="00BF4828">
      <w:pPr>
        <w:pStyle w:val="FirstParagraph"/>
        <w:jc w:val="both"/>
      </w:pPr>
      <w:r>
        <w:t xml:space="preserve">Children perform above chance in the </w:t>
      </w:r>
      <w:r>
        <w:rPr>
          <w:i/>
          <w:iCs/>
        </w:rPr>
        <w:t>Representation</w:t>
      </w:r>
      <w:r>
        <w:t xml:space="preserve"> condition at least as early as 36 months, which is the lower limit of the age-range. Based on the literature, it is reasonable to assume that also in our setup, children would be able to solve the task at hand between the second and third birthday (Callaghan, 1999, 2000; DeLoache &amp; Marzolf, 1992). This result establishes that the task design and setup are sufficiently clear even for the youngest children in the sample: they follow the game of hide and seek, make the pragmatic inference that their partner is intent on helping them with a graphic cue, and can match cue and target according to the most basic symbol-referent relationship, namely an iconic representation. As the pragmatics of the task are identical across conditions, delayed success with other stimuli is unlikely to be due to pragmatic inference but rather an inability to grasp the symbol-referent-relationship in question. </w:t>
      </w:r>
    </w:p>
    <w:p w14:paraId="09C5D356" w14:textId="71F9224A" w:rsidR="00B8759D" w:rsidRDefault="00000000" w:rsidP="00BF4828">
      <w:pPr>
        <w:pStyle w:val="FirstParagraph"/>
        <w:jc w:val="both"/>
      </w:pPr>
      <w:r>
        <w:t xml:space="preserve">When providing less information as in </w:t>
      </w:r>
      <w:r>
        <w:rPr>
          <w:i/>
          <w:iCs/>
        </w:rPr>
        <w:t>Pars Pro Toto,</w:t>
      </w:r>
      <w:r>
        <w:t xml:space="preserve"> children succeed at about 38 months. The interaction with age shows that performance improves more quickly over time. In the more abstract conditions </w:t>
      </w:r>
      <w:r>
        <w:rPr>
          <w:i/>
          <w:iCs/>
        </w:rPr>
        <w:t>Simple Form Analogy</w:t>
      </w:r>
      <w:r>
        <w:t xml:space="preserve"> and </w:t>
      </w:r>
      <w:r>
        <w:rPr>
          <w:i/>
          <w:iCs/>
        </w:rPr>
        <w:t>Complex Form Analogy</w:t>
      </w:r>
      <w:r>
        <w:t xml:space="preserve">, preschoolers </w:t>
      </w:r>
      <w:r w:rsidR="00853483">
        <w:t>succeed</w:t>
      </w:r>
      <w:r>
        <w:t xml:space="preserve"> at approximately 47 and 50 months respectively. While both are still based in iconicity, in so far as their interpretation involves a sense of resemblance with regard to their shape (Winter et al., 2026), they are quite abstract. With regard to the influence of surface features, group</w:t>
      </w:r>
      <w:r w:rsidR="00ED107F">
        <w:t>-</w:t>
      </w:r>
      <w:r>
        <w:t xml:space="preserve">level success occurs slightly earlier with the reduced cues employed in </w:t>
      </w:r>
      <w:r>
        <w:rPr>
          <w:i/>
          <w:iCs/>
        </w:rPr>
        <w:t>Simple Form Analogy</w:t>
      </w:r>
      <w:r>
        <w:t xml:space="preserve"> (Richland, Morrison, &amp; Holyoak, 2006). As such, these findings provide estimates for developmental windows when mastery of these symbol-referent-relationships is likely to occur: around the third birthday for the highly iconic conditions and around the fourth birthday for analogies in form. Finally, the results are perfectly in line with the hypothesized developmental </w:t>
      </w:r>
      <w:r>
        <w:lastRenderedPageBreak/>
        <w:t xml:space="preserve">succession of group level success coming to pass first with </w:t>
      </w:r>
      <w:r>
        <w:rPr>
          <w:i/>
          <w:iCs/>
        </w:rPr>
        <w:t>Representation</w:t>
      </w:r>
      <w:r>
        <w:t xml:space="preserve">, then </w:t>
      </w:r>
      <w:r>
        <w:rPr>
          <w:i/>
          <w:iCs/>
        </w:rPr>
        <w:t>Pars Pro Toto</w:t>
      </w:r>
      <w:r>
        <w:t xml:space="preserve">, </w:t>
      </w:r>
      <w:r>
        <w:rPr>
          <w:i/>
          <w:iCs/>
        </w:rPr>
        <w:t>Simple Form Analogy</w:t>
      </w:r>
      <w:r>
        <w:t xml:space="preserve"> and </w:t>
      </w:r>
      <w:r>
        <w:rPr>
          <w:i/>
          <w:iCs/>
        </w:rPr>
        <w:t>Complex Form Analogy</w:t>
      </w:r>
      <w:r>
        <w:t>.</w:t>
      </w:r>
    </w:p>
    <w:p w14:paraId="054941D8" w14:textId="77777777" w:rsidR="00B8759D" w:rsidRDefault="00000000">
      <w:pPr>
        <w:pStyle w:val="berschrift1"/>
      </w:pPr>
      <w:bookmarkStart w:id="12" w:name="study-2"/>
      <w:bookmarkEnd w:id="2"/>
      <w:bookmarkEnd w:id="11"/>
      <w:r>
        <w:t>Study 2</w:t>
      </w:r>
    </w:p>
    <w:p w14:paraId="666FA667" w14:textId="131E972D" w:rsidR="00B8759D" w:rsidRDefault="00000000" w:rsidP="00BF4828">
      <w:pPr>
        <w:pStyle w:val="FirstParagraph"/>
        <w:jc w:val="both"/>
      </w:pPr>
      <w:r>
        <w:t xml:space="preserve">Study 2 continues to trace the development of symbolic competencies across the preschool-years while reducing iconicity in the symbol-referent-relationships. Here, the experimental conditions employ different shapes for both cue and target stimuli but draw on gestalt-principles like figure-ground-relationship, continuity and parallelism to establish reference. In </w:t>
      </w:r>
      <w:r>
        <w:rPr>
          <w:i/>
          <w:iCs/>
        </w:rPr>
        <w:t>Absolute Position</w:t>
      </w:r>
      <w:r>
        <w:t xml:space="preserve">, cue and target share the same position with regard to the frame they occur in. In </w:t>
      </w:r>
      <w:r>
        <w:rPr>
          <w:i/>
          <w:iCs/>
        </w:rPr>
        <w:t>Relative Position</w:t>
      </w:r>
      <w:r>
        <w:t xml:space="preserve"> cue and target are each composed of two shapes. Reference is established by the respective shapes being closer or further apart or sharing a position on a horizontal or vertical axis. For </w:t>
      </w:r>
      <w:r>
        <w:rPr>
          <w:i/>
          <w:iCs/>
        </w:rPr>
        <w:t>Orientation of Object</w:t>
      </w:r>
      <w:r>
        <w:t xml:space="preserve">, symbol and cue are aligned along the same axis. The final condition, </w:t>
      </w:r>
      <w:r>
        <w:rPr>
          <w:i/>
          <w:iCs/>
        </w:rPr>
        <w:t>Orientation of Feature</w:t>
      </w:r>
      <w:r>
        <w:t xml:space="preserve"> employs cue and target shapes with a salient feature that is either oriented up- or downward. Because processing whole objects is generally less demanding than isolating constituent features, and because the position conditions require coordinating relations between objects or reference frames (Gentner &amp; Hoyos, 2017; Halford, Wilson, &amp; Phillips, 1998; Rattermann &amp; Gentner, 1998; Richland et al., 2006), our preregistered hypothesis predicted that children will succeed earlier with </w:t>
      </w:r>
      <w:r>
        <w:rPr>
          <w:i/>
          <w:iCs/>
        </w:rPr>
        <w:t>Orientation of Object</w:t>
      </w:r>
      <w:r>
        <w:t xml:space="preserve"> than </w:t>
      </w:r>
      <w:r>
        <w:rPr>
          <w:i/>
          <w:iCs/>
        </w:rPr>
        <w:t>Orientation of Feature</w:t>
      </w:r>
      <w:r>
        <w:t xml:space="preserve">, and earlier with </w:t>
      </w:r>
      <w:r>
        <w:rPr>
          <w:i/>
          <w:iCs/>
        </w:rPr>
        <w:t>Absolute Position</w:t>
      </w:r>
      <w:r>
        <w:t xml:space="preserve"> than with </w:t>
      </w:r>
      <w:r>
        <w:rPr>
          <w:i/>
          <w:iCs/>
        </w:rPr>
        <w:t>Relative Position.</w:t>
      </w:r>
      <w:r>
        <w:t xml:space="preserve"> The </w:t>
      </w:r>
      <w:r w:rsidR="00B046BA">
        <w:t>study</w:t>
      </w:r>
      <w:r>
        <w:t xml:space="preserve"> was preregistered online prior to data collection (</w:t>
      </w:r>
      <w:hyperlink r:id="rId14">
        <w:r w:rsidR="00B8759D">
          <w:rPr>
            <w:rStyle w:val="Hyperlink"/>
          </w:rPr>
          <w:t>Preregistration Study 2</w:t>
        </w:r>
      </w:hyperlink>
      <w:r>
        <w:t>:</w:t>
      </w:r>
      <w:r w:rsidR="005525B2">
        <w:t xml:space="preserve"> </w:t>
      </w:r>
      <w:hyperlink r:id="rId15" w:history="1">
        <w:r w:rsidR="005525B2" w:rsidRPr="00A41C2F">
          <w:rPr>
            <w:rStyle w:val="Hyperlink"/>
          </w:rPr>
          <w:t>https://aspredicted.org/L2H_XC7</w:t>
        </w:r>
      </w:hyperlink>
      <w:r>
        <w:t xml:space="preserve">). Except for stimuli and sample, the methods were identical to </w:t>
      </w:r>
      <w:r w:rsidR="00B046BA">
        <w:t>Study</w:t>
      </w:r>
      <w:r>
        <w:t xml:space="preserve"> 1.</w:t>
      </w:r>
    </w:p>
    <w:p w14:paraId="644F9A54" w14:textId="77777777" w:rsidR="00B8759D" w:rsidRDefault="00000000" w:rsidP="00BF4828">
      <w:pPr>
        <w:pStyle w:val="berschrift2"/>
        <w:jc w:val="both"/>
      </w:pPr>
      <w:bookmarkStart w:id="13" w:name="participants-and-sample-1"/>
      <w:r>
        <w:lastRenderedPageBreak/>
        <w:t>Participants and Sample</w:t>
      </w:r>
    </w:p>
    <w:p w14:paraId="5CE06B58" w14:textId="02FBFFC3" w:rsidR="00B8759D" w:rsidRDefault="00000000" w:rsidP="00BF4828">
      <w:pPr>
        <w:pStyle w:val="FirstParagraph"/>
        <w:jc w:val="both"/>
      </w:pPr>
      <w:r>
        <w:t>A total of 99 three- to seven-year-old children (</w:t>
      </w:r>
      <w:r w:rsidRPr="00657465">
        <w:rPr>
          <w:i/>
          <w:iCs/>
        </w:rPr>
        <w:t>M</w:t>
      </w:r>
      <w:r>
        <w:t xml:space="preserve"> = 60.04 months, </w:t>
      </w:r>
      <w:r w:rsidRPr="00657465">
        <w:rPr>
          <w:i/>
          <w:iCs/>
        </w:rPr>
        <w:t>SD</w:t>
      </w:r>
      <w:r>
        <w:t xml:space="preserve"> = 13.69 months, range 36 - 83 months; 49 female) participated. None of these children participated in </w:t>
      </w:r>
      <w:r w:rsidR="00657465">
        <w:t>S</w:t>
      </w:r>
      <w:r>
        <w:t>tudy 1. In addition, a total of 13 children (6 female) were tested but excluded from analysis for failing familiarization (</w:t>
      </w:r>
      <w:r w:rsidRPr="00657465">
        <w:rPr>
          <w:i/>
          <w:iCs/>
        </w:rPr>
        <w:t>N</w:t>
      </w:r>
      <w:r>
        <w:t xml:space="preserve"> = 9), being fussy (</w:t>
      </w:r>
      <w:r w:rsidRPr="00657465">
        <w:rPr>
          <w:i/>
          <w:iCs/>
        </w:rPr>
        <w:t>N</w:t>
      </w:r>
      <w:r>
        <w:t xml:space="preserve"> = 1), not being fluent enough in German to follow the instructions (</w:t>
      </w:r>
      <w:r w:rsidRPr="00657465">
        <w:rPr>
          <w:i/>
          <w:iCs/>
        </w:rPr>
        <w:t>N</w:t>
      </w:r>
      <w:r>
        <w:t xml:space="preserve"> = 1), or due to technical issues (</w:t>
      </w:r>
      <w:r w:rsidRPr="00657465">
        <w:rPr>
          <w:i/>
          <w:iCs/>
        </w:rPr>
        <w:t>N</w:t>
      </w:r>
      <w:r>
        <w:t xml:space="preserve"> = 2). A total of 1561 trials (</w:t>
      </w:r>
      <w:r w:rsidR="00657465" w:rsidRPr="00657465">
        <w:rPr>
          <w:i/>
          <w:iCs/>
        </w:rPr>
        <w:t>M</w:t>
      </w:r>
      <w:r>
        <w:t xml:space="preserve"> per condition = 390.25, range: 388 - 393) from 99 participants were submitted for analysis.</w:t>
      </w:r>
    </w:p>
    <w:p w14:paraId="2882FF37" w14:textId="77777777" w:rsidR="00B8759D" w:rsidRDefault="00000000" w:rsidP="00BF4828">
      <w:pPr>
        <w:pStyle w:val="berschrift2"/>
        <w:jc w:val="both"/>
      </w:pPr>
      <w:bookmarkStart w:id="14" w:name="stimuli"/>
      <w:bookmarkEnd w:id="13"/>
      <w:r>
        <w:t>Stimuli</w:t>
      </w:r>
    </w:p>
    <w:p w14:paraId="44859834" w14:textId="4079C99D" w:rsidR="00BF4828" w:rsidRDefault="00000000" w:rsidP="00BF4828">
      <w:pPr>
        <w:pStyle w:val="FirstParagraph"/>
        <w:jc w:val="both"/>
      </w:pPr>
      <w:r>
        <w:rPr>
          <w:i/>
          <w:iCs/>
        </w:rPr>
        <w:t>Absolute Position</w:t>
      </w:r>
      <w:r>
        <w:t xml:space="preserve"> and </w:t>
      </w:r>
      <w:r>
        <w:rPr>
          <w:i/>
          <w:iCs/>
        </w:rPr>
        <w:t>Relative Position</w:t>
      </w:r>
      <w:r>
        <w:t xml:space="preserve"> employed the same distinct shapes as cue and target (e.g. circle vs. square, cross). In </w:t>
      </w:r>
      <w:r>
        <w:rPr>
          <w:i/>
          <w:iCs/>
        </w:rPr>
        <w:t>Absolute Position</w:t>
      </w:r>
      <w:r>
        <w:t xml:space="preserve"> target positions were placed in top and bottom, or central and peripheral conditions in half of trails. For </w:t>
      </w:r>
      <w:r>
        <w:rPr>
          <w:i/>
          <w:iCs/>
        </w:rPr>
        <w:t>Relative Position</w:t>
      </w:r>
      <w:r>
        <w:t xml:space="preserve">, two trials present target stimuli that were closer together or further apart, as well as another two trials with target components being aligned on a horizontal or vertical axis. To ensure that cue and target are maximally distinct in all dimensions, cues and target items did not align on the same axis. To convey a sense of direction in </w:t>
      </w:r>
      <w:r>
        <w:rPr>
          <w:i/>
          <w:iCs/>
        </w:rPr>
        <w:t>Orientation of Object,</w:t>
      </w:r>
      <w:r>
        <w:t xml:space="preserve"> cues and targets featured elongated shapes that were aligned either on a horizontal, vertical, or diagonal axis with rising or falling slope. The shapes were distinct oblong ellipses and rectangles or less regular shapes with more or less round or square features. For </w:t>
      </w:r>
      <w:r>
        <w:rPr>
          <w:i/>
          <w:iCs/>
        </w:rPr>
        <w:t>Orientation of Feature</w:t>
      </w:r>
      <w:r>
        <w:t xml:space="preserve">, targets and cues were either circles or squares with a salient feature like an opening or a dent. For an overview of all stimuli used in Study 2, see </w:t>
      </w:r>
      <w:r w:rsidR="00057B88">
        <w:t>F</w:t>
      </w:r>
      <w:r>
        <w:t>igure 4.</w:t>
      </w:r>
    </w:p>
    <w:p w14:paraId="70A798C4" w14:textId="36810462" w:rsidR="00B8759D" w:rsidRDefault="00BF4828" w:rsidP="00BF4828">
      <w:pPr>
        <w:spacing w:before="0" w:after="200" w:line="240" w:lineRule="auto"/>
      </w:pPr>
      <w:r>
        <w:br w:type="page"/>
      </w:r>
    </w:p>
    <w:p w14:paraId="542CD7B5" w14:textId="77777777" w:rsidR="00B8759D" w:rsidRDefault="00000000" w:rsidP="00BF4828">
      <w:pPr>
        <w:pStyle w:val="CaptionedFigure"/>
        <w:framePr w:wrap="notBeside"/>
        <w:jc w:val="both"/>
      </w:pPr>
      <w:r>
        <w:rPr>
          <w:noProof/>
        </w:rPr>
        <w:lastRenderedPageBreak/>
        <w:drawing>
          <wp:inline distT="0" distB="0" distL="0" distR="0" wp14:anchorId="4E85542E" wp14:editId="6BFB4193">
            <wp:extent cx="5670550" cy="1867032"/>
            <wp:effectExtent l="0" t="0" r="0" b="0"/>
            <wp:docPr id="45" name="Picture" descr="Figure 4: Stimuli for Study 2. Panels illustrate (A) an example stimulus combination (distractor, cue, target), and (B) all items of the four conditions with targets in blue and cues as drawings."/>
            <wp:cNvGraphicFramePr/>
            <a:graphic xmlns:a="http://schemas.openxmlformats.org/drawingml/2006/main">
              <a:graphicData uri="http://schemas.openxmlformats.org/drawingml/2006/picture">
                <pic:pic xmlns:pic="http://schemas.openxmlformats.org/drawingml/2006/picture">
                  <pic:nvPicPr>
                    <pic:cNvPr id="46" name="Picture" descr="symlit_rep_manuscript_revision_2_files/a33663200d4dd54e3b626f6487f2f8b9e8d88cc5.png"/>
                    <pic:cNvPicPr>
                      <a:picLocks noChangeAspect="1" noChangeArrowheads="1"/>
                    </pic:cNvPicPr>
                  </pic:nvPicPr>
                  <pic:blipFill>
                    <a:blip r:embed="rId16"/>
                    <a:stretch>
                      <a:fillRect/>
                    </a:stretch>
                  </pic:blipFill>
                  <pic:spPr bwMode="auto">
                    <a:xfrm>
                      <a:off x="0" y="0"/>
                      <a:ext cx="5670550" cy="1867032"/>
                    </a:xfrm>
                    <a:prstGeom prst="rect">
                      <a:avLst/>
                    </a:prstGeom>
                    <a:noFill/>
                    <a:ln w="9525">
                      <a:noFill/>
                      <a:headEnd/>
                      <a:tailEnd/>
                    </a:ln>
                  </pic:spPr>
                </pic:pic>
              </a:graphicData>
            </a:graphic>
          </wp:inline>
        </w:drawing>
      </w:r>
    </w:p>
    <w:p w14:paraId="575C2C45" w14:textId="77777777" w:rsidR="00B8759D" w:rsidRDefault="00000000" w:rsidP="00A00DFA">
      <w:pPr>
        <w:pStyle w:val="ImageCaption"/>
        <w:spacing w:line="240" w:lineRule="auto"/>
        <w:jc w:val="both"/>
      </w:pPr>
      <w:bookmarkStart w:id="15" w:name="fig:plot-study2stimuli"/>
      <w:bookmarkEnd w:id="15"/>
      <w:r>
        <w:rPr>
          <w:i/>
          <w:iCs/>
        </w:rPr>
        <w:t>Figure</w:t>
      </w:r>
      <w:r>
        <w:t xml:space="preserve"> 4. </w:t>
      </w:r>
      <w:r>
        <w:rPr>
          <w:i/>
          <w:iCs/>
        </w:rPr>
        <w:t>Stimuli for Study 2.</w:t>
      </w:r>
      <w:r>
        <w:t xml:space="preserve"> Panels illustrate (A) an example stimulus combination (distractor, cue, target), and (B) all items of the four conditions with targets in blue and cues as drawings.</w:t>
      </w:r>
    </w:p>
    <w:p w14:paraId="061B3407" w14:textId="77777777" w:rsidR="00B8759D" w:rsidRDefault="00000000" w:rsidP="00A00DFA">
      <w:pPr>
        <w:pStyle w:val="Textkrper"/>
        <w:spacing w:line="240" w:lineRule="auto"/>
        <w:jc w:val="both"/>
      </w:pPr>
      <w:r>
        <w:rPr>
          <w:b/>
          <w:bCs/>
        </w:rPr>
        <w:t>ALT-TEXT FIGURE 4</w:t>
      </w:r>
      <w:r>
        <w:t xml:space="preserve"> </w:t>
      </w:r>
      <w:r>
        <w:rPr>
          <w:i/>
          <w:iCs/>
        </w:rPr>
        <w:t>A panel of illustrations of the stimulus material used in Study 2. The top-row shows an example for a specific trial (cue, target, distractor), the second row has 4x4 matrices with all stimuli of the conditions.</w:t>
      </w:r>
    </w:p>
    <w:p w14:paraId="5CA7A5AA" w14:textId="77777777" w:rsidR="00B8759D" w:rsidRDefault="00000000" w:rsidP="00BF4828">
      <w:pPr>
        <w:pStyle w:val="berschrift2"/>
        <w:jc w:val="both"/>
      </w:pPr>
      <w:bookmarkStart w:id="16" w:name="results-1"/>
      <w:bookmarkEnd w:id="14"/>
      <w:r>
        <w:t>Results</w:t>
      </w:r>
    </w:p>
    <w:p w14:paraId="268B62A5" w14:textId="7529061E" w:rsidR="00B8759D" w:rsidRDefault="00000000" w:rsidP="00BF4828">
      <w:pPr>
        <w:pStyle w:val="FirstParagraph"/>
        <w:jc w:val="both"/>
      </w:pPr>
      <w:r>
        <w:t>Model diagnostics indicated convergence, excellent fit</w:t>
      </w:r>
      <w:r w:rsidR="00057B88">
        <w:t>,</w:t>
      </w:r>
      <w:r>
        <w:t xml:space="preserve"> and reliable posterior estimates for both full and null model with comparable WAIC and ELPD results (cf.</w:t>
      </w:r>
      <w:r w:rsidR="00B02A8F">
        <w:t xml:space="preserve"> online</w:t>
      </w:r>
      <w:r>
        <w:t xml:space="preserve"> supplementary material). In the absence of substantial differences, results from the full model are reported below in line with the preregistration. </w:t>
      </w:r>
      <w:r>
        <w:rPr>
          <w:i/>
          <w:iCs/>
        </w:rPr>
        <w:t>Absolute Position</w:t>
      </w:r>
      <w:r>
        <w:t xml:space="preserve"> was used as reference category</w:t>
      </w:r>
      <w:r>
        <w:rPr>
          <w:i/>
          <w:iCs/>
        </w:rPr>
        <w:t>.</w:t>
      </w:r>
      <w:r>
        <w:t xml:space="preserve"> Across all conditions, performance improved with both age (</w:t>
      </w:r>
      <m:oMath>
        <m:r>
          <w:rPr>
            <w:rFonts w:ascii="Cambria Math" w:hAnsi="Cambria Math"/>
          </w:rPr>
          <m:t>β</m:t>
        </m:r>
      </m:oMath>
      <w:r>
        <w:t xml:space="preserve"> = 0.40, 95% </w:t>
      </w:r>
      <w:r w:rsidRPr="00970117">
        <w:rPr>
          <w:i/>
          <w:iCs/>
        </w:rPr>
        <w:t>CrI</w:t>
      </w:r>
      <w:r>
        <w:t xml:space="preserve"> [0.14, 0.68]) and slightly with trial number (</w:t>
      </w:r>
      <m:oMath>
        <m:r>
          <w:rPr>
            <w:rFonts w:ascii="Cambria Math" w:hAnsi="Cambria Math"/>
          </w:rPr>
          <m:t>β</m:t>
        </m:r>
      </m:oMath>
      <w:r>
        <w:t xml:space="preserve"> = 0.26, 95% </w:t>
      </w:r>
      <w:r w:rsidRPr="00970117">
        <w:rPr>
          <w:i/>
          <w:iCs/>
        </w:rPr>
        <w:t>CrI</w:t>
      </w:r>
      <w:r>
        <w:t xml:space="preserve"> [0.10, 0.43]). Compared to </w:t>
      </w:r>
      <w:r>
        <w:rPr>
          <w:i/>
          <w:iCs/>
        </w:rPr>
        <w:t>Absolute Position</w:t>
      </w:r>
      <w:r>
        <w:t xml:space="preserve">, children were generally less likely to correctly solve </w:t>
      </w:r>
      <w:r>
        <w:rPr>
          <w:i/>
          <w:iCs/>
        </w:rPr>
        <w:t>Relative Position</w:t>
      </w:r>
      <w:r>
        <w:t xml:space="preserve"> (</w:t>
      </w:r>
      <m:oMath>
        <m:r>
          <w:rPr>
            <w:rFonts w:ascii="Cambria Math" w:hAnsi="Cambria Math"/>
          </w:rPr>
          <m:t>β</m:t>
        </m:r>
      </m:oMath>
      <w:r>
        <w:t xml:space="preserve"> = -0.28, 95% </w:t>
      </w:r>
      <w:r w:rsidRPr="00970117">
        <w:rPr>
          <w:i/>
          <w:iCs/>
        </w:rPr>
        <w:t>CrI</w:t>
      </w:r>
      <w:r>
        <w:t xml:space="preserve"> [-0.64, 0.08]). Performance in </w:t>
      </w:r>
      <w:r>
        <w:rPr>
          <w:i/>
          <w:iCs/>
        </w:rPr>
        <w:t>Orientation of Object</w:t>
      </w:r>
      <w:r>
        <w:t xml:space="preserve"> (</w:t>
      </w:r>
      <m:oMath>
        <m:r>
          <w:rPr>
            <w:rFonts w:ascii="Cambria Math" w:hAnsi="Cambria Math"/>
          </w:rPr>
          <m:t>β</m:t>
        </m:r>
      </m:oMath>
      <w:r>
        <w:t xml:space="preserve"> = -0.10, 95% </w:t>
      </w:r>
      <w:r w:rsidRPr="00970117">
        <w:rPr>
          <w:i/>
          <w:iCs/>
        </w:rPr>
        <w:t>CrI</w:t>
      </w:r>
      <w:r>
        <w:t xml:space="preserve"> [-0.46, 0.27]) and </w:t>
      </w:r>
      <w:r>
        <w:rPr>
          <w:i/>
          <w:iCs/>
        </w:rPr>
        <w:t>Orientation of Feature</w:t>
      </w:r>
      <w:r>
        <w:t xml:space="preserve"> (</w:t>
      </w:r>
      <m:oMath>
        <m:r>
          <w:rPr>
            <w:rFonts w:ascii="Cambria Math" w:hAnsi="Cambria Math"/>
          </w:rPr>
          <m:t>β</m:t>
        </m:r>
      </m:oMath>
      <w:r>
        <w:t xml:space="preserve"> = -0.12, 95% </w:t>
      </w:r>
      <w:r w:rsidRPr="00970117">
        <w:rPr>
          <w:i/>
          <w:iCs/>
        </w:rPr>
        <w:t>CrI</w:t>
      </w:r>
      <w:r>
        <w:t xml:space="preserve"> [-0.48, 0.23]) was not substantially different from the reference category </w:t>
      </w:r>
      <w:r>
        <w:rPr>
          <w:i/>
          <w:iCs/>
        </w:rPr>
        <w:t>Absolute Position</w:t>
      </w:r>
      <w:r>
        <w:t xml:space="preserve"> when considering the full age range. Interaction terms between age and condition were not credibly different from zero, suggesting similar developmental patterns </w:t>
      </w:r>
      <w:r>
        <w:lastRenderedPageBreak/>
        <w:t xml:space="preserve">for all conditions. For a side-by-side comparison of the developmental trajectories and estimates for ages of group-level success, see </w:t>
      </w:r>
      <w:r w:rsidR="00334BCD">
        <w:t>F</w:t>
      </w:r>
      <w:r>
        <w:t>igure 5.</w:t>
      </w:r>
    </w:p>
    <w:p w14:paraId="4C541F65" w14:textId="77777777" w:rsidR="00B8759D" w:rsidRDefault="00000000" w:rsidP="00BF4828">
      <w:pPr>
        <w:pStyle w:val="CaptionedFigure"/>
        <w:framePr w:wrap="notBeside"/>
        <w:jc w:val="both"/>
      </w:pPr>
      <w:r>
        <w:rPr>
          <w:noProof/>
        </w:rPr>
        <w:drawing>
          <wp:inline distT="0" distB="0" distL="0" distR="0" wp14:anchorId="210F8E94" wp14:editId="60D8C2D7">
            <wp:extent cx="6933570" cy="2569817"/>
            <wp:effectExtent l="0" t="0" r="0" b="0"/>
            <wp:docPr id="50" name="Picture" descr="Figure 5: Developmental Trajectories for Study 2. 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descr="symlit_rep_manuscript_revision_2_files/883d1e37dcc11a0ce88cd09a8de8e668ba8c88f8.png"/>
                    <pic:cNvPicPr>
                      <a:picLocks noChangeAspect="1" noChangeArrowheads="1"/>
                    </pic:cNvPicPr>
                  </pic:nvPicPr>
                  <pic:blipFill>
                    <a:blip r:embed="rId17"/>
                    <a:stretch>
                      <a:fillRect/>
                    </a:stretch>
                  </pic:blipFill>
                  <pic:spPr bwMode="auto">
                    <a:xfrm>
                      <a:off x="0" y="0"/>
                      <a:ext cx="6960420" cy="2579768"/>
                    </a:xfrm>
                    <a:prstGeom prst="rect">
                      <a:avLst/>
                    </a:prstGeom>
                    <a:noFill/>
                    <a:ln w="9525">
                      <a:noFill/>
                      <a:headEnd/>
                      <a:tailEnd/>
                    </a:ln>
                  </pic:spPr>
                </pic:pic>
              </a:graphicData>
            </a:graphic>
          </wp:inline>
        </w:drawing>
      </w:r>
    </w:p>
    <w:p w14:paraId="52453C28" w14:textId="75D06BA7" w:rsidR="00B8759D" w:rsidRDefault="00000000" w:rsidP="0022641C">
      <w:pPr>
        <w:pStyle w:val="ImageCaption"/>
        <w:spacing w:line="240" w:lineRule="auto"/>
        <w:jc w:val="both"/>
      </w:pPr>
      <w:bookmarkStart w:id="17" w:name="fig:plot-study2"/>
      <w:bookmarkEnd w:id="17"/>
      <w:r>
        <w:rPr>
          <w:i/>
          <w:iCs/>
        </w:rPr>
        <w:t>Figure</w:t>
      </w:r>
      <w:r>
        <w:t xml:space="preserve"> 5. </w:t>
      </w:r>
      <w:r>
        <w:rPr>
          <w:i/>
          <w:iCs/>
        </w:rPr>
        <w:t>Developmental Trajectories for Study 2.</w:t>
      </w:r>
      <w:r>
        <w:t xml:space="preserve"> Transparent dots represent individual means for participants. Colored lines indicate smoothed mean performance by age. Shaded areas represent 95% CrIs. The dashed line demarcates chance level. The colored dots and annotations indicate when children’s performance exceeds chance level. Overlays provide example stimuli for each condition.</w:t>
      </w:r>
    </w:p>
    <w:p w14:paraId="4521BBE6" w14:textId="30830D3E" w:rsidR="00B8759D" w:rsidRDefault="00000000" w:rsidP="0022641C">
      <w:pPr>
        <w:pStyle w:val="Textkrper"/>
        <w:spacing w:line="240" w:lineRule="auto"/>
        <w:jc w:val="both"/>
      </w:pPr>
      <w:r>
        <w:rPr>
          <w:b/>
          <w:bCs/>
        </w:rPr>
        <w:t>ALT-TEXT FIGURE 5</w:t>
      </w:r>
      <w:r>
        <w:t xml:space="preserve"> </w:t>
      </w:r>
      <w:r>
        <w:rPr>
          <w:i/>
          <w:iCs/>
        </w:rPr>
        <w:t xml:space="preserve">A panel of illustrations providing results and example stimuli for all four experimental conditions in </w:t>
      </w:r>
      <w:r w:rsidR="00B046BA">
        <w:rPr>
          <w:i/>
          <w:iCs/>
        </w:rPr>
        <w:t>Study</w:t>
      </w:r>
      <w:r>
        <w:rPr>
          <w:i/>
          <w:iCs/>
        </w:rPr>
        <w:t xml:space="preserve"> 2. Smoothed lines show developmental trajectories as the proportion of correct choices against children’s ages.</w:t>
      </w:r>
    </w:p>
    <w:p w14:paraId="3A323993" w14:textId="77777777" w:rsidR="00B8759D" w:rsidRDefault="00000000" w:rsidP="00BF4828">
      <w:pPr>
        <w:pStyle w:val="berschrift2"/>
        <w:jc w:val="both"/>
      </w:pPr>
      <w:bookmarkStart w:id="18" w:name="discussion-1"/>
      <w:bookmarkEnd w:id="16"/>
      <w:r>
        <w:t>Discussion</w:t>
      </w:r>
    </w:p>
    <w:p w14:paraId="33D7A022" w14:textId="423915C8" w:rsidR="00B8759D" w:rsidRDefault="00000000" w:rsidP="00BF4828">
      <w:pPr>
        <w:pStyle w:val="FirstParagraph"/>
        <w:jc w:val="both"/>
      </w:pPr>
      <w:r>
        <w:t xml:space="preserve">Analyses established that children master the condition </w:t>
      </w:r>
      <w:r>
        <w:rPr>
          <w:i/>
          <w:iCs/>
        </w:rPr>
        <w:t>Absolute Position</w:t>
      </w:r>
      <w:r>
        <w:t xml:space="preserve"> at approximately 45 months, making it the easiest task in </w:t>
      </w:r>
      <w:r w:rsidR="00B046BA">
        <w:t>Study</w:t>
      </w:r>
      <w:r>
        <w:t xml:space="preserve"> 2. Then in quick succession, children succeed in </w:t>
      </w:r>
      <w:r>
        <w:rPr>
          <w:i/>
          <w:iCs/>
        </w:rPr>
        <w:t>Orientation of Feature</w:t>
      </w:r>
      <w:r>
        <w:t xml:space="preserve"> at about 46 months, </w:t>
      </w:r>
      <w:r>
        <w:rPr>
          <w:i/>
          <w:iCs/>
        </w:rPr>
        <w:t>Relative Position</w:t>
      </w:r>
      <w:r>
        <w:t xml:space="preserve"> at 49 months and </w:t>
      </w:r>
      <w:r>
        <w:rPr>
          <w:i/>
          <w:iCs/>
        </w:rPr>
        <w:t>Orientation of Object</w:t>
      </w:r>
      <w:r>
        <w:t xml:space="preserve"> at 50 months. Results confirm the hypothesis that children as a group would succeed earlier in </w:t>
      </w:r>
      <w:r>
        <w:rPr>
          <w:i/>
          <w:iCs/>
        </w:rPr>
        <w:t>Absolute Position</w:t>
      </w:r>
      <w:r>
        <w:t xml:space="preserve"> than in </w:t>
      </w:r>
      <w:r>
        <w:rPr>
          <w:i/>
          <w:iCs/>
        </w:rPr>
        <w:t>Relative Position</w:t>
      </w:r>
      <w:r>
        <w:t xml:space="preserve"> with a clear 5-months offset. We hypothesized further that children would succeed earlier with </w:t>
      </w:r>
      <w:r>
        <w:rPr>
          <w:i/>
          <w:iCs/>
        </w:rPr>
        <w:t>Orientation of Object</w:t>
      </w:r>
      <w:r>
        <w:t xml:space="preserve"> than </w:t>
      </w:r>
      <w:r>
        <w:rPr>
          <w:i/>
          <w:iCs/>
        </w:rPr>
        <w:lastRenderedPageBreak/>
        <w:t>Orientation of Feature</w:t>
      </w:r>
      <w:r>
        <w:t xml:space="preserve">, but find the opposite to be true. The impression of direction or congruence between cue and target appears to be much more salient with a salient feature pointing out as in </w:t>
      </w:r>
      <w:r>
        <w:rPr>
          <w:i/>
          <w:iCs/>
        </w:rPr>
        <w:t>Orientation of Feature</w:t>
      </w:r>
      <w:r>
        <w:t>, than an overall alignment in the horizontal, vertical or diagonal orientation. At the same time, all the estimated ages of success indicate that children succeed with these tasks around the fourth birthday.</w:t>
      </w:r>
    </w:p>
    <w:p w14:paraId="7227091F" w14:textId="77777777" w:rsidR="00B8759D" w:rsidRDefault="00000000" w:rsidP="00BF4828">
      <w:pPr>
        <w:pStyle w:val="berschrift1"/>
      </w:pPr>
      <w:bookmarkStart w:id="19" w:name="study-3"/>
      <w:bookmarkEnd w:id="12"/>
      <w:bookmarkEnd w:id="18"/>
      <w:r>
        <w:t>Study 3</w:t>
      </w:r>
    </w:p>
    <w:p w14:paraId="5E95E31F" w14:textId="13540179" w:rsidR="00B8759D" w:rsidRDefault="00000000" w:rsidP="00BF4828">
      <w:pPr>
        <w:pStyle w:val="FirstParagraph"/>
        <w:jc w:val="both"/>
      </w:pPr>
      <w:r>
        <w:t xml:space="preserve">The final study features symbol-referent relationships that were based on analogies in size or number without cues and targets sharing similarities in other visual aspects, and while avoiding </w:t>
      </w:r>
      <w:r w:rsidR="00A158E4">
        <w:t>drawing</w:t>
      </w:r>
      <w:r>
        <w:t xml:space="preserve"> on conventions in graphic communication. In order to correctly interpret the symbol-referent relationships employed here, children needed to focus on structural features of the graphical displays. Such processes can be fostered or obstructed by surface</w:t>
      </w:r>
      <w:r w:rsidR="00057B88">
        <w:t>-</w:t>
      </w:r>
      <w:r>
        <w:t xml:space="preserve">level features of the stimuli at hand which makes it harder to assess whether the age at which children master a task depends more on the ability to generally form symbol-referent relationships from analogies or from children’s developing ability to process visual complexity. The two base conditions of </w:t>
      </w:r>
      <w:r w:rsidR="00B046BA">
        <w:t>Study</w:t>
      </w:r>
      <w:r>
        <w:t xml:space="preserve"> 3 are </w:t>
      </w:r>
      <w:r>
        <w:rPr>
          <w:i/>
          <w:iCs/>
        </w:rPr>
        <w:t>Size of Object</w:t>
      </w:r>
      <w:r>
        <w:t xml:space="preserve"> and </w:t>
      </w:r>
      <w:r>
        <w:rPr>
          <w:i/>
          <w:iCs/>
        </w:rPr>
        <w:t>Size of Number.</w:t>
      </w:r>
      <w:r>
        <w:t xml:space="preserve"> Here the cues </w:t>
      </w:r>
      <w:r w:rsidR="00DB2CEA">
        <w:t>referred</w:t>
      </w:r>
      <w:r>
        <w:t xml:space="preserve"> to a target shape as a whole via an analogy in size or number. As a continuous magnitude, size may be easier to grasp and compare for children than discrete magnitudes (Leibovich</w:t>
      </w:r>
      <w:r w:rsidR="00970117">
        <w:t xml:space="preserve"> et al.</w:t>
      </w:r>
      <w:r>
        <w:t xml:space="preserve">, 2017). Both are complemented by the conditions </w:t>
      </w:r>
      <w:r>
        <w:rPr>
          <w:i/>
          <w:iCs/>
        </w:rPr>
        <w:t>Size of Feature</w:t>
      </w:r>
      <w:r>
        <w:t xml:space="preserve"> and </w:t>
      </w:r>
      <w:r>
        <w:rPr>
          <w:i/>
          <w:iCs/>
        </w:rPr>
        <w:t>Number of Feature</w:t>
      </w:r>
      <w:r>
        <w:t xml:space="preserve"> in which the cues </w:t>
      </w:r>
      <w:r w:rsidR="00DB2CEA">
        <w:t>referred</w:t>
      </w:r>
      <w:r>
        <w:t xml:space="preserve"> to a salient aspect of the target stimuli. In these cases, extracting relevant information is arguably more demanding. Children need to shift attention from a holistic apprehension to exploring specific aspects in isolation, which should make feature tasks more demanding (Callaghan, 1990; Diamond, Carlson, &amp; Beck, 2016; Shepp, Barrett, &amp; Kolbet, 1987). The overall performance across the ages at which children solve a task </w:t>
      </w:r>
      <w:proofErr w:type="spellStart"/>
      <w:r w:rsidR="00BF5747">
        <w:t>focussing</w:t>
      </w:r>
      <w:proofErr w:type="spellEnd"/>
      <w:r>
        <w:t xml:space="preserve"> objects or their features, can then serve to </w:t>
      </w:r>
      <w:r>
        <w:lastRenderedPageBreak/>
        <w:t xml:space="preserve">evaluate such surface-level effects across two different domains. Prior to data collection, we hypothesized that children </w:t>
      </w:r>
      <w:r w:rsidR="00A158E4">
        <w:t>would</w:t>
      </w:r>
      <w:r>
        <w:t xml:space="preserve"> succeed earlier with symbol-referent relationships based in size than in number, and that children </w:t>
      </w:r>
      <w:r w:rsidR="00D9382F">
        <w:t>would</w:t>
      </w:r>
      <w:r>
        <w:t xml:space="preserve"> succeed earlier when cues refer to a target object per se rather than a salient feature thereof. The study was preregistered online prior to data collection (</w:t>
      </w:r>
      <w:hyperlink r:id="rId18">
        <w:r w:rsidR="00B8759D">
          <w:rPr>
            <w:rStyle w:val="Hyperlink"/>
          </w:rPr>
          <w:t>Preregistration Study3</w:t>
        </w:r>
      </w:hyperlink>
      <w:r>
        <w:t xml:space="preserve">: </w:t>
      </w:r>
      <w:hyperlink r:id="rId19">
        <w:r w:rsidR="00B8759D">
          <w:rPr>
            <w:rStyle w:val="Hyperlink"/>
          </w:rPr>
          <w:t>https://aspredicted.org/DR4_B4B</w:t>
        </w:r>
      </w:hyperlink>
      <w:r>
        <w:t xml:space="preserve">). Except for stimuli and sample, the methods were identical to </w:t>
      </w:r>
      <w:r w:rsidR="00B046BA">
        <w:t>Study</w:t>
      </w:r>
      <w:r>
        <w:t xml:space="preserve"> 1.</w:t>
      </w:r>
    </w:p>
    <w:p w14:paraId="3736F5A7" w14:textId="77777777" w:rsidR="00B8759D" w:rsidRDefault="00000000" w:rsidP="00BF4828">
      <w:pPr>
        <w:pStyle w:val="berschrift2"/>
        <w:jc w:val="both"/>
      </w:pPr>
      <w:bookmarkStart w:id="20" w:name="participants-and-sample-2"/>
      <w:r>
        <w:t>Participants and Sample</w:t>
      </w:r>
    </w:p>
    <w:p w14:paraId="527AD5E4" w14:textId="53F8F0C9" w:rsidR="00B8759D" w:rsidRDefault="00000000" w:rsidP="00BF4828">
      <w:pPr>
        <w:pStyle w:val="FirstParagraph"/>
        <w:jc w:val="both"/>
      </w:pPr>
      <w:r>
        <w:t>A total of 99 three- to seven-year-old children (</w:t>
      </w:r>
      <w:r w:rsidRPr="00970117">
        <w:rPr>
          <w:i/>
          <w:iCs/>
        </w:rPr>
        <w:t>M</w:t>
      </w:r>
      <w:r>
        <w:t xml:space="preserve"> = 59.88 months, </w:t>
      </w:r>
      <w:r w:rsidRPr="00970117">
        <w:rPr>
          <w:i/>
          <w:iCs/>
        </w:rPr>
        <w:t>SD</w:t>
      </w:r>
      <w:r>
        <w:t xml:space="preserve"> = 13.44 months, range 36 - 83 months; 55 female) participated. None of these had participated in studies 1 and 2. In addition, 23 children (7 female) were tested but excluded for low performance during familiarization (</w:t>
      </w:r>
      <w:r w:rsidRPr="00970117">
        <w:rPr>
          <w:i/>
          <w:iCs/>
        </w:rPr>
        <w:t>N</w:t>
      </w:r>
      <w:r>
        <w:t xml:space="preserve"> = 12), for not completing at least eight out of 16 test trials (</w:t>
      </w:r>
      <w:r w:rsidRPr="00970117">
        <w:rPr>
          <w:i/>
          <w:iCs/>
        </w:rPr>
        <w:t>N</w:t>
      </w:r>
      <w:r>
        <w:t xml:space="preserve"> = 1), or being fussy (</w:t>
      </w:r>
      <w:r w:rsidRPr="00970117">
        <w:rPr>
          <w:i/>
          <w:iCs/>
        </w:rPr>
        <w:t>N</w:t>
      </w:r>
      <w:r>
        <w:t xml:space="preserve"> = 3). Further exclusions were necessary due to language problems (</w:t>
      </w:r>
      <w:r w:rsidRPr="00970117">
        <w:rPr>
          <w:i/>
          <w:iCs/>
        </w:rPr>
        <w:t>N</w:t>
      </w:r>
      <w:r>
        <w:t xml:space="preserve"> = 4) and technical issues (</w:t>
      </w:r>
      <w:r w:rsidRPr="00970117">
        <w:rPr>
          <w:i/>
          <w:iCs/>
        </w:rPr>
        <w:t>N</w:t>
      </w:r>
      <w:r>
        <w:t xml:space="preserve"> = 3). For </w:t>
      </w:r>
      <w:r w:rsidR="00B046BA">
        <w:t>Study</w:t>
      </w:r>
      <w:r>
        <w:t xml:space="preserve"> </w:t>
      </w:r>
      <w:r w:rsidR="00B046BA">
        <w:t>3</w:t>
      </w:r>
      <w:r>
        <w:t>, 1559 trials (</w:t>
      </w:r>
      <w:r w:rsidR="00970117" w:rsidRPr="00970117">
        <w:rPr>
          <w:i/>
          <w:iCs/>
        </w:rPr>
        <w:t>M</w:t>
      </w:r>
      <w:r>
        <w:t xml:space="preserve"> per condition = 389.75, range: 388 - 392) from 99 participants were submitted for analysis.</w:t>
      </w:r>
    </w:p>
    <w:p w14:paraId="4D6C7DF2" w14:textId="77777777" w:rsidR="00B8759D" w:rsidRDefault="00000000" w:rsidP="00BF4828">
      <w:pPr>
        <w:pStyle w:val="berschrift2"/>
        <w:jc w:val="both"/>
      </w:pPr>
      <w:bookmarkStart w:id="21" w:name="stimuli-1"/>
      <w:bookmarkEnd w:id="20"/>
      <w:r>
        <w:t>Stimuli</w:t>
      </w:r>
    </w:p>
    <w:p w14:paraId="12446342" w14:textId="7B734874" w:rsidR="00B8759D" w:rsidRDefault="00000000" w:rsidP="00BC11CE">
      <w:pPr>
        <w:pStyle w:val="FirstParagraph"/>
        <w:jc w:val="both"/>
      </w:pPr>
      <w:r>
        <w:t xml:space="preserve">In </w:t>
      </w:r>
      <w:r>
        <w:rPr>
          <w:i/>
          <w:iCs/>
        </w:rPr>
        <w:t>Size of Object</w:t>
      </w:r>
      <w:r>
        <w:t xml:space="preserve"> the targets in each trial were identical shapes that were either small or large with regard to the frame they are presented in. To make cue and target shapes as distinct as possible they were again employing either squares or circles respectively or less canonical shapes such as a random scribble or straight lines (cf. </w:t>
      </w:r>
      <w:r w:rsidR="00334BCD">
        <w:t>F</w:t>
      </w:r>
      <w:r>
        <w:t xml:space="preserve">igure 6 B). For comparability, </w:t>
      </w:r>
      <w:r>
        <w:rPr>
          <w:i/>
          <w:iCs/>
        </w:rPr>
        <w:t>Size of Feature</w:t>
      </w:r>
      <w:r>
        <w:t xml:space="preserve"> employed the same cues as </w:t>
      </w:r>
      <w:r>
        <w:rPr>
          <w:i/>
          <w:iCs/>
        </w:rPr>
        <w:t>Size of Object</w:t>
      </w:r>
      <w:r>
        <w:t xml:space="preserve">, but </w:t>
      </w:r>
      <w:r w:rsidR="00234353">
        <w:t>uses</w:t>
      </w:r>
      <w:r>
        <w:t xml:space="preserve"> target shapes with either a relatively large or small void, opening, or protrusion. In </w:t>
      </w:r>
      <w:r>
        <w:rPr>
          <w:i/>
          <w:iCs/>
        </w:rPr>
        <w:t>Number of Object</w:t>
      </w:r>
      <w:r>
        <w:t xml:space="preserve">, cues and targets were composed of different shapes. The </w:t>
      </w:r>
      <w:r w:rsidR="00D110C1">
        <w:t>quantities displayed</w:t>
      </w:r>
      <w:r>
        <w:t xml:space="preserve"> were 1 versus 3, and 2 versus 4. Three- and four-year-olds can reliably distinguish these magnitudes explicitly and implicitly without counting (Mix, </w:t>
      </w:r>
      <w:r>
        <w:lastRenderedPageBreak/>
        <w:t>Huttenlocher, &amp; Levine, 2002). Special attention was paid to the arrangement of the objects to ensure that the cue and target objects do not form a similar pattern. This was addressed by presenting the targets depicting the magnitudes three and four as if outlining irregular shapes. By contrast, the corresponding cues were aligned along a vertical o</w:t>
      </w:r>
      <w:r w:rsidR="00D110C1">
        <w:t>r</w:t>
      </w:r>
      <w:r>
        <w:t xml:space="preserve"> horizontal axis. For comparability, </w:t>
      </w:r>
      <w:r>
        <w:rPr>
          <w:i/>
          <w:iCs/>
        </w:rPr>
        <w:t>Number of Feature</w:t>
      </w:r>
      <w:r>
        <w:t xml:space="preserve"> employs the same cues as </w:t>
      </w:r>
      <w:r>
        <w:rPr>
          <w:i/>
          <w:iCs/>
        </w:rPr>
        <w:t>Number of Object</w:t>
      </w:r>
      <w:r>
        <w:t xml:space="preserve">. To evoke a sense of quantity in the closed forms serving as choice options, the target shapes in </w:t>
      </w:r>
      <w:r>
        <w:rPr>
          <w:i/>
          <w:iCs/>
        </w:rPr>
        <w:t>Number of Feature</w:t>
      </w:r>
      <w:r>
        <w:t xml:space="preserve"> either had salient protrusions, or partial areas resulting from incisions. For an overview of all stimuli presented in Study 3, see </w:t>
      </w:r>
      <w:r w:rsidR="00057B88">
        <w:t>F</w:t>
      </w:r>
      <w:r>
        <w:t>igure 6.</w:t>
      </w:r>
    </w:p>
    <w:p w14:paraId="69B2A3B5" w14:textId="77777777" w:rsidR="00B8759D" w:rsidRDefault="00000000" w:rsidP="00BF4828">
      <w:pPr>
        <w:pStyle w:val="CaptionedFigure"/>
        <w:framePr w:wrap="notBeside"/>
        <w:jc w:val="both"/>
      </w:pPr>
      <w:r>
        <w:rPr>
          <w:noProof/>
        </w:rPr>
        <w:drawing>
          <wp:inline distT="0" distB="0" distL="0" distR="0" wp14:anchorId="096D7D98" wp14:editId="4877D8E8">
            <wp:extent cx="5670550" cy="1875495"/>
            <wp:effectExtent l="0" t="0" r="0" b="0"/>
            <wp:docPr id="59" name="Picture" descr="Figure 6: Stimuli for Study 3. Panels illustrate (A) an example stimulus combination (distractor, cue, target), and (B) all items of the four conditions with targets in blue and cues as drawings."/>
            <wp:cNvGraphicFramePr/>
            <a:graphic xmlns:a="http://schemas.openxmlformats.org/drawingml/2006/main">
              <a:graphicData uri="http://schemas.openxmlformats.org/drawingml/2006/picture">
                <pic:pic xmlns:pic="http://schemas.openxmlformats.org/drawingml/2006/picture">
                  <pic:nvPicPr>
                    <pic:cNvPr id="60" name="Picture" descr="symlit_rep_manuscript_revision_2_files/9ecabf7406d2d3165659ad42d9e1ede8d80592ae.png"/>
                    <pic:cNvPicPr>
                      <a:picLocks noChangeAspect="1" noChangeArrowheads="1"/>
                    </pic:cNvPicPr>
                  </pic:nvPicPr>
                  <pic:blipFill>
                    <a:blip r:embed="rId20"/>
                    <a:stretch>
                      <a:fillRect/>
                    </a:stretch>
                  </pic:blipFill>
                  <pic:spPr bwMode="auto">
                    <a:xfrm>
                      <a:off x="0" y="0"/>
                      <a:ext cx="5670550" cy="1875495"/>
                    </a:xfrm>
                    <a:prstGeom prst="rect">
                      <a:avLst/>
                    </a:prstGeom>
                    <a:noFill/>
                    <a:ln w="9525">
                      <a:noFill/>
                      <a:headEnd/>
                      <a:tailEnd/>
                    </a:ln>
                  </pic:spPr>
                </pic:pic>
              </a:graphicData>
            </a:graphic>
          </wp:inline>
        </w:drawing>
      </w:r>
    </w:p>
    <w:p w14:paraId="053F51A4" w14:textId="77777777" w:rsidR="00B8759D" w:rsidRDefault="00000000" w:rsidP="0022641C">
      <w:pPr>
        <w:pStyle w:val="ImageCaption"/>
        <w:spacing w:line="240" w:lineRule="auto"/>
        <w:jc w:val="both"/>
      </w:pPr>
      <w:bookmarkStart w:id="22" w:name="fig:plot-study3stimuli"/>
      <w:bookmarkEnd w:id="22"/>
      <w:r>
        <w:rPr>
          <w:i/>
          <w:iCs/>
        </w:rPr>
        <w:t>Figure</w:t>
      </w:r>
      <w:r>
        <w:t xml:space="preserve"> 6. </w:t>
      </w:r>
      <w:r>
        <w:rPr>
          <w:i/>
          <w:iCs/>
        </w:rPr>
        <w:t>Stimuli for Study 3.</w:t>
      </w:r>
      <w:r>
        <w:t xml:space="preserve"> Panels illustrate (A) an example stimulus combination (distractor, cue, target), and (B) all items of the four conditions with targets in blue and cues as drawings.</w:t>
      </w:r>
    </w:p>
    <w:p w14:paraId="692BAFDB" w14:textId="77777777" w:rsidR="00B8759D" w:rsidRDefault="00000000" w:rsidP="0022641C">
      <w:pPr>
        <w:pStyle w:val="Textkrper"/>
        <w:spacing w:line="240" w:lineRule="auto"/>
        <w:jc w:val="both"/>
      </w:pPr>
      <w:r>
        <w:rPr>
          <w:b/>
          <w:bCs/>
        </w:rPr>
        <w:t>ALT-TEXT FIGURE 6</w:t>
      </w:r>
      <w:r>
        <w:t xml:space="preserve"> </w:t>
      </w:r>
      <w:r>
        <w:rPr>
          <w:i/>
          <w:iCs/>
        </w:rPr>
        <w:t>A panel of illustrations of the stimulus material used in Study 3. The top-row shows an example for a specific trial (cue, target, distractor), the second row has 4x4 matrices with all stimuli of the conditions.</w:t>
      </w:r>
    </w:p>
    <w:p w14:paraId="4C065600" w14:textId="77777777" w:rsidR="00B8759D" w:rsidRDefault="00000000" w:rsidP="00BF4828">
      <w:pPr>
        <w:pStyle w:val="berschrift2"/>
        <w:jc w:val="both"/>
      </w:pPr>
      <w:bookmarkStart w:id="23" w:name="results-2"/>
      <w:bookmarkEnd w:id="21"/>
      <w:r>
        <w:t>Results</w:t>
      </w:r>
    </w:p>
    <w:p w14:paraId="2A1E17FE" w14:textId="73DEE1D3" w:rsidR="00B8759D" w:rsidRDefault="00000000" w:rsidP="00BF4828">
      <w:pPr>
        <w:pStyle w:val="FirstParagraph"/>
        <w:jc w:val="both"/>
      </w:pPr>
      <w:r>
        <w:t>As above, model diagnostics indicated convergence, excellent fit</w:t>
      </w:r>
      <w:r w:rsidR="00057B88">
        <w:t>,</w:t>
      </w:r>
      <w:r>
        <w:t xml:space="preserve"> and reliable posterior estimates for both full and null </w:t>
      </w:r>
      <w:r w:rsidR="00AE233F">
        <w:t>models</w:t>
      </w:r>
      <w:r>
        <w:t xml:space="preserve"> with comparable WAIC and ELPD results (cf. </w:t>
      </w:r>
      <w:r w:rsidR="00B02A8F">
        <w:t xml:space="preserve">online </w:t>
      </w:r>
      <w:r>
        <w:t xml:space="preserve">supplementary material). Hence, results from the full model are reported below in line with the preregistration. </w:t>
      </w:r>
      <w:r>
        <w:rPr>
          <w:i/>
          <w:iCs/>
        </w:rPr>
        <w:t>Size of Object</w:t>
      </w:r>
      <w:r>
        <w:t xml:space="preserve"> was used as reference category</w:t>
      </w:r>
      <w:r>
        <w:rPr>
          <w:i/>
          <w:iCs/>
        </w:rPr>
        <w:t>.</w:t>
      </w:r>
      <w:r>
        <w:t xml:space="preserve"> Overall, children’s performance </w:t>
      </w:r>
      <w:r>
        <w:lastRenderedPageBreak/>
        <w:t>increased with age (</w:t>
      </w:r>
      <m:oMath>
        <m:r>
          <w:rPr>
            <w:rFonts w:ascii="Cambria Math" w:hAnsi="Cambria Math"/>
          </w:rPr>
          <m:t>β</m:t>
        </m:r>
      </m:oMath>
      <w:r>
        <w:t xml:space="preserve"> = 0.70, </w:t>
      </w:r>
      <w:r w:rsidRPr="00D9382F">
        <w:t>95% CrI</w:t>
      </w:r>
      <w:r>
        <w:t xml:space="preserve"> [0.44, 0.97]) and with trial number (</w:t>
      </w:r>
      <m:oMath>
        <m:r>
          <w:rPr>
            <w:rFonts w:ascii="Cambria Math" w:hAnsi="Cambria Math"/>
          </w:rPr>
          <m:t>β</m:t>
        </m:r>
      </m:oMath>
      <w:r>
        <w:t xml:space="preserve"> = 0.21, </w:t>
      </w:r>
      <w:r w:rsidRPr="00D9382F">
        <w:t>95% CrI</w:t>
      </w:r>
      <w:r>
        <w:t xml:space="preserve"> [0.06, 0.36]), indicating general improvement across development and time-on-task. Relative to </w:t>
      </w:r>
      <w:r>
        <w:rPr>
          <w:i/>
          <w:iCs/>
        </w:rPr>
        <w:t>Size of Object</w:t>
      </w:r>
      <w:r>
        <w:t xml:space="preserve">, participants were substantially less accurate in </w:t>
      </w:r>
      <w:r>
        <w:rPr>
          <w:i/>
          <w:iCs/>
        </w:rPr>
        <w:t>Size of Feature</w:t>
      </w:r>
      <w:r>
        <w:t xml:space="preserve"> (</w:t>
      </w:r>
      <m:oMath>
        <m:r>
          <w:rPr>
            <w:rFonts w:ascii="Cambria Math" w:hAnsi="Cambria Math"/>
          </w:rPr>
          <m:t>β</m:t>
        </m:r>
      </m:oMath>
      <w:r w:rsidR="0035011F">
        <w:t xml:space="preserve"> </w:t>
      </w:r>
      <w:r>
        <w:t xml:space="preserve">= -0.71, 95% </w:t>
      </w:r>
      <w:r w:rsidRPr="00D9382F">
        <w:t>CrI</w:t>
      </w:r>
      <w:r>
        <w:t xml:space="preserve"> [-1.06, -0.36]). A smaller, marginal effect was observed in </w:t>
      </w:r>
      <w:r>
        <w:rPr>
          <w:i/>
          <w:iCs/>
        </w:rPr>
        <w:t>Number of Feature</w:t>
      </w:r>
      <w:r>
        <w:t xml:space="preserve"> (</w:t>
      </w:r>
      <m:oMath>
        <m:r>
          <w:rPr>
            <w:rFonts w:ascii="Cambria Math" w:hAnsi="Cambria Math"/>
          </w:rPr>
          <m:t>β</m:t>
        </m:r>
      </m:oMath>
      <w:r>
        <w:t xml:space="preserve"> = -0.31, 95% </w:t>
      </w:r>
      <w:r w:rsidRPr="00D9382F">
        <w:t>CrI</w:t>
      </w:r>
      <w:r>
        <w:t xml:space="preserve"> [-0.67,0.05]). </w:t>
      </w:r>
      <w:r>
        <w:rPr>
          <w:i/>
          <w:iCs/>
        </w:rPr>
        <w:t>Number of Object</w:t>
      </w:r>
      <w:r>
        <w:t xml:space="preserve"> (</w:t>
      </w:r>
      <m:oMath>
        <m:r>
          <w:rPr>
            <w:rFonts w:ascii="Cambria Math" w:hAnsi="Cambria Math"/>
          </w:rPr>
          <m:t>β</m:t>
        </m:r>
      </m:oMath>
      <w:r>
        <w:t xml:space="preserve"> = -0.08, 95% CrI [-0.43, 0.28]) did not differ reliably from </w:t>
      </w:r>
      <w:r>
        <w:rPr>
          <w:i/>
          <w:iCs/>
        </w:rPr>
        <w:t>Size of Object</w:t>
      </w:r>
      <w:r>
        <w:t xml:space="preserve">. Age moderated performance less strongly in </w:t>
      </w:r>
      <w:r>
        <w:rPr>
          <w:i/>
          <w:iCs/>
        </w:rPr>
        <w:t>Size of Feature</w:t>
      </w:r>
      <w:r>
        <w:t xml:space="preserve"> (</w:t>
      </w:r>
      <m:oMath>
        <m:r>
          <w:rPr>
            <w:rFonts w:ascii="Cambria Math" w:hAnsi="Cambria Math"/>
          </w:rPr>
          <m:t>β</m:t>
        </m:r>
      </m:oMath>
      <w:r>
        <w:t xml:space="preserve"> = -0.50, 95% CrI [-0.82, -0.20]) and </w:t>
      </w:r>
      <w:r>
        <w:rPr>
          <w:i/>
          <w:iCs/>
        </w:rPr>
        <w:t>Number of Feature</w:t>
      </w:r>
      <w:r>
        <w:t xml:space="preserve"> (</w:t>
      </w:r>
      <m:oMath>
        <m:r>
          <w:rPr>
            <w:rFonts w:ascii="Cambria Math" w:hAnsi="Cambria Math"/>
          </w:rPr>
          <m:t>β</m:t>
        </m:r>
      </m:oMath>
      <w:r>
        <w:t xml:space="preserve"> = -0.29, 95% CrI [-0.60, 0.03]), suggesting lower developmental gains compared to </w:t>
      </w:r>
      <w:r>
        <w:rPr>
          <w:i/>
          <w:iCs/>
        </w:rPr>
        <w:t>Size of Object</w:t>
      </w:r>
      <w:r>
        <w:t xml:space="preserve">. Generally, the conditions relying on feature-based reference are associated with lower overall performance and weaker developmental gains. The best overview of the relative performance across conditions and the corresponding estimates for the age of success is provided in </w:t>
      </w:r>
      <w:r w:rsidR="00334BCD">
        <w:t>F</w:t>
      </w:r>
      <w:r>
        <w:t>igure 7.</w:t>
      </w:r>
    </w:p>
    <w:p w14:paraId="5F8B2484" w14:textId="77777777" w:rsidR="00B8759D" w:rsidRDefault="00000000" w:rsidP="00BF4828">
      <w:pPr>
        <w:pStyle w:val="CaptionedFigure"/>
        <w:framePr w:wrap="notBeside"/>
        <w:jc w:val="both"/>
      </w:pPr>
      <w:r>
        <w:rPr>
          <w:noProof/>
        </w:rPr>
        <w:drawing>
          <wp:inline distT="0" distB="0" distL="0" distR="0" wp14:anchorId="38C907F6" wp14:editId="548E59E1">
            <wp:extent cx="6283794" cy="2305278"/>
            <wp:effectExtent l="0" t="0" r="0" b="0"/>
            <wp:docPr id="64" name="Picture" descr="Figure 7: Developmental Trajectories for Study 3. Transparent dots represent individual means for participants. Coloured lines indicate smoothed mean performance by age. Shaded areas represent 95% CrIs. The dashed line demarcates chance level. The colored dots and annotations indicate when children’s performance exceeds chance level. Overlays provide example stimuli for each condition."/>
            <wp:cNvGraphicFramePr/>
            <a:graphic xmlns:a="http://schemas.openxmlformats.org/drawingml/2006/main">
              <a:graphicData uri="http://schemas.openxmlformats.org/drawingml/2006/picture">
                <pic:pic xmlns:pic="http://schemas.openxmlformats.org/drawingml/2006/picture">
                  <pic:nvPicPr>
                    <pic:cNvPr id="65" name="Picture" descr="symlit_rep_manuscript_revision_2_files/d1b4f39648326a1a2209221cb9f08100ce5e9a75.png"/>
                    <pic:cNvPicPr>
                      <a:picLocks noChangeAspect="1" noChangeArrowheads="1"/>
                    </pic:cNvPicPr>
                  </pic:nvPicPr>
                  <pic:blipFill>
                    <a:blip r:embed="rId21"/>
                    <a:stretch>
                      <a:fillRect/>
                    </a:stretch>
                  </pic:blipFill>
                  <pic:spPr bwMode="auto">
                    <a:xfrm>
                      <a:off x="0" y="0"/>
                      <a:ext cx="6316180" cy="2317159"/>
                    </a:xfrm>
                    <a:prstGeom prst="rect">
                      <a:avLst/>
                    </a:prstGeom>
                    <a:noFill/>
                    <a:ln w="9525">
                      <a:noFill/>
                      <a:headEnd/>
                      <a:tailEnd/>
                    </a:ln>
                  </pic:spPr>
                </pic:pic>
              </a:graphicData>
            </a:graphic>
          </wp:inline>
        </w:drawing>
      </w:r>
    </w:p>
    <w:p w14:paraId="7804D376" w14:textId="344B0E77" w:rsidR="00B8759D" w:rsidRDefault="00000000" w:rsidP="006733F1">
      <w:pPr>
        <w:pStyle w:val="ImageCaption"/>
        <w:spacing w:line="240" w:lineRule="auto"/>
        <w:jc w:val="both"/>
      </w:pPr>
      <w:bookmarkStart w:id="24" w:name="fig:plot-study3"/>
      <w:bookmarkEnd w:id="24"/>
      <w:r>
        <w:rPr>
          <w:i/>
          <w:iCs/>
        </w:rPr>
        <w:t>Figure</w:t>
      </w:r>
      <w:r>
        <w:t xml:space="preserve"> 7. </w:t>
      </w:r>
      <w:r>
        <w:rPr>
          <w:i/>
          <w:iCs/>
        </w:rPr>
        <w:t>Developmental Trajectories for Study 3.</w:t>
      </w:r>
      <w:r>
        <w:t xml:space="preserve"> Transparent dots represent individual means for participants. </w:t>
      </w:r>
      <w:r w:rsidR="0022641C">
        <w:t>Colored</w:t>
      </w:r>
      <w:r>
        <w:t xml:space="preserve"> lines indicate smoothed mean performance by age. Shaded areas represent 95% CrIs. The dashed line demarcates chance level. The colored dots and annotations indicate when children’s performance exceeds chance level. Overlays provide example stimuli for each condition.</w:t>
      </w:r>
    </w:p>
    <w:p w14:paraId="6C314B34" w14:textId="2EBB0FD3" w:rsidR="00B8759D" w:rsidRDefault="00000000" w:rsidP="006733F1">
      <w:pPr>
        <w:pStyle w:val="Textkrper"/>
        <w:spacing w:line="240" w:lineRule="auto"/>
        <w:jc w:val="both"/>
      </w:pPr>
      <w:r>
        <w:rPr>
          <w:b/>
          <w:bCs/>
        </w:rPr>
        <w:lastRenderedPageBreak/>
        <w:t>ALT-TEXT FIGURE 7</w:t>
      </w:r>
      <w:r>
        <w:t xml:space="preserve"> </w:t>
      </w:r>
      <w:r>
        <w:rPr>
          <w:i/>
          <w:iCs/>
        </w:rPr>
        <w:t xml:space="preserve">A panel of illustrations providing results and example stimuli for all four experimental conditions in </w:t>
      </w:r>
      <w:r w:rsidR="00B046BA">
        <w:rPr>
          <w:i/>
          <w:iCs/>
        </w:rPr>
        <w:t>Study</w:t>
      </w:r>
      <w:r>
        <w:rPr>
          <w:i/>
          <w:iCs/>
        </w:rPr>
        <w:t xml:space="preserve"> 3. Smoothed lines show developmental trajectories as the proportion of correct choices against children’s ages.</w:t>
      </w:r>
    </w:p>
    <w:p w14:paraId="3A1EF51D" w14:textId="77777777" w:rsidR="00B8759D" w:rsidRDefault="00000000" w:rsidP="00BF4828">
      <w:pPr>
        <w:pStyle w:val="berschrift2"/>
        <w:jc w:val="both"/>
      </w:pPr>
      <w:bookmarkStart w:id="25" w:name="discussion-2"/>
      <w:bookmarkEnd w:id="23"/>
      <w:r>
        <w:t>Discussion</w:t>
      </w:r>
    </w:p>
    <w:p w14:paraId="50AE30AD" w14:textId="15C10E82" w:rsidR="00B8759D" w:rsidRDefault="00000000" w:rsidP="00BF4828">
      <w:pPr>
        <w:pStyle w:val="FirstParagraph"/>
        <w:jc w:val="both"/>
      </w:pPr>
      <w:r>
        <w:t xml:space="preserve">Model estimates indicate group level success in </w:t>
      </w:r>
      <w:r>
        <w:rPr>
          <w:i/>
          <w:iCs/>
        </w:rPr>
        <w:t>Size of Object</w:t>
      </w:r>
      <w:r>
        <w:t xml:space="preserve"> at approximately 49 months, at around 50 months in </w:t>
      </w:r>
      <w:r>
        <w:rPr>
          <w:i/>
          <w:iCs/>
        </w:rPr>
        <w:t>Number of Object</w:t>
      </w:r>
      <w:r>
        <w:t xml:space="preserve">, and broadly at 50 months in </w:t>
      </w:r>
      <w:r>
        <w:rPr>
          <w:i/>
          <w:iCs/>
        </w:rPr>
        <w:t>Number of Feature</w:t>
      </w:r>
      <w:r>
        <w:t xml:space="preserve">. The exception to this pattern is </w:t>
      </w:r>
      <w:r>
        <w:rPr>
          <w:i/>
          <w:iCs/>
        </w:rPr>
        <w:t>Size of Feature</w:t>
      </w:r>
      <w:r>
        <w:t xml:space="preserve"> where children master the task no sooner than about 59 months of age. We hypothesized that children </w:t>
      </w:r>
      <w:r w:rsidR="00751825">
        <w:t>would</w:t>
      </w:r>
      <w:r>
        <w:t xml:space="preserve"> succeed earlier with analogies in size than in number, and that children would succeed earlier when cues refer to the target objects per se rather than salient features thereof. We find limited support for the hypothesis that the feature conditions are generally more demanding. That children succeed a month earlier in </w:t>
      </w:r>
      <w:r>
        <w:rPr>
          <w:i/>
          <w:iCs/>
        </w:rPr>
        <w:t>Number of Object</w:t>
      </w:r>
      <w:r>
        <w:t xml:space="preserve"> than in </w:t>
      </w:r>
      <w:r>
        <w:rPr>
          <w:i/>
          <w:iCs/>
        </w:rPr>
        <w:t>Size of Object</w:t>
      </w:r>
      <w:r>
        <w:t xml:space="preserve"> as hypothesized is negligible especially as the estimates for months of success should be interpreted as indicators for relevant developmental age-ranges. While </w:t>
      </w:r>
      <w:r>
        <w:rPr>
          <w:i/>
          <w:iCs/>
        </w:rPr>
        <w:t>Size of Object</w:t>
      </w:r>
      <w:r>
        <w:t xml:space="preserve"> demonstrates when children can grasp size analogies, </w:t>
      </w:r>
      <w:r>
        <w:rPr>
          <w:i/>
          <w:iCs/>
        </w:rPr>
        <w:t>Size of Feature</w:t>
      </w:r>
      <w:r>
        <w:t xml:space="preserve"> stands out as the most difficult condition in the series of studies reported above. Success here required shifting attention from general appearance to nested object features and this ability develops considerably throughout the preschool years (Callaghan, 1990; Diamond et al., 2016; Shepp et al., 1987).</w:t>
      </w:r>
    </w:p>
    <w:p w14:paraId="458E4034" w14:textId="77777777" w:rsidR="00B8759D" w:rsidRDefault="00000000">
      <w:pPr>
        <w:pStyle w:val="berschrift1"/>
      </w:pPr>
      <w:bookmarkStart w:id="26" w:name="discussion-3"/>
      <w:bookmarkEnd w:id="19"/>
      <w:bookmarkEnd w:id="25"/>
      <w:r>
        <w:t>Discussion</w:t>
      </w:r>
    </w:p>
    <w:p w14:paraId="7D41DF2E" w14:textId="2A5648E6" w:rsidR="00B8759D" w:rsidRDefault="00000000" w:rsidP="00BF4828">
      <w:pPr>
        <w:pStyle w:val="FirstParagraph"/>
        <w:jc w:val="both"/>
      </w:pPr>
      <w:r>
        <w:t xml:space="preserve">We presented a concerted three-part research project tracing young children’s ability to spontaneously use unfamiliar graphic displays as communicative cues in an object-choice task across a wide variety of symbol-referent relationships. In three studies with four conditions each, we collected data of two children per month of age continuously from the third to the seventh birthday for a final sample of 304 children (Study 1, </w:t>
      </w:r>
      <w:r w:rsidRPr="0035011F">
        <w:rPr>
          <w:i/>
          <w:iCs/>
        </w:rPr>
        <w:t>N</w:t>
      </w:r>
      <w:r>
        <w:t xml:space="preserve"> = 106; Study 2, </w:t>
      </w:r>
      <w:r w:rsidRPr="0035011F">
        <w:rPr>
          <w:i/>
          <w:iCs/>
        </w:rPr>
        <w:t>N</w:t>
      </w:r>
      <w:r>
        <w:t xml:space="preserve"> = 99; Study 3, </w:t>
      </w:r>
      <w:r w:rsidRPr="0035011F">
        <w:rPr>
          <w:i/>
          <w:iCs/>
        </w:rPr>
        <w:t>N</w:t>
      </w:r>
      <w:r>
        <w:t xml:space="preserve"> = 99). </w:t>
      </w:r>
      <w:r>
        <w:lastRenderedPageBreak/>
        <w:t>We provide estimates in months of age anchoring developmental windows during which children as a group are likely perform above chance with each symbol-referent relationship using Bayesian GLMMs. Across the various conditions, symbolic reference between cue and target was established via direct representation, a part-whole relationship, analogies in size, number and shape, as well as gestalt-like principles like figure-ground relationships, orientation and alignment. Whereas previous work on graphic communication has focused almost exclusively on direct iconic representations as a way of creating meaning and mostly compared performance across binned age-groups, the three studies presented here map development continuously using a highly simple and streamlined procedure across various types of visual analogies.</w:t>
      </w:r>
    </w:p>
    <w:p w14:paraId="631BF52C" w14:textId="2B34512A" w:rsidR="00B8759D" w:rsidRDefault="00000000" w:rsidP="00BF4828">
      <w:pPr>
        <w:pStyle w:val="Textkrper"/>
        <w:jc w:val="both"/>
      </w:pPr>
      <w:r>
        <w:t xml:space="preserve">By design, the three studies provide a conservative test case of children’s ability to find meaning in the symbol-referent relationships presented. Participants were never directly instructed to search specific similarities across cue and target nor prompted to find matches per se as is commonly done in match-to-sample designs (e.g. “Which ones go together?”). Rather children were told that their interlocutor would like to help them find an item in a game of hide and seek and would create a drawing for them. Children then had to infer that the </w:t>
      </w:r>
      <w:r w:rsidR="00AB5CFC">
        <w:t>interlocutors’</w:t>
      </w:r>
      <w:r>
        <w:t xml:space="preserve"> drawings may be read as novel symbolic cues referring to either </w:t>
      </w:r>
      <w:r w:rsidR="004640B9">
        <w:t>hiding place</w:t>
      </w:r>
      <w:r>
        <w:t>. To prevent learning or demand effects across trials, children did not receive feedback for their responses, only saw one version of the two possible cues for each target-distractor pairing, and were presented with a novel stimulus combination in each trial. Hence, children’s inferences depended almost exclusively on the specific graphic arrangement immediately in front of them.</w:t>
      </w:r>
    </w:p>
    <w:p w14:paraId="429996CA" w14:textId="0EE99F62" w:rsidR="00B8759D" w:rsidRDefault="00000000" w:rsidP="00BF4828">
      <w:pPr>
        <w:pStyle w:val="Textkrper"/>
        <w:jc w:val="both"/>
      </w:pPr>
      <w:r>
        <w:t xml:space="preserve">In Study 1, we found that in </w:t>
      </w:r>
      <w:r>
        <w:rPr>
          <w:i/>
          <w:iCs/>
        </w:rPr>
        <w:t>Representation</w:t>
      </w:r>
      <w:r>
        <w:t xml:space="preserve"> - with cues that are direct outline drawings of the items they refer to - children are better than chance at the lower boundary of our age-window. A second condition, </w:t>
      </w:r>
      <w:r>
        <w:rPr>
          <w:i/>
          <w:iCs/>
        </w:rPr>
        <w:t>Pars Pro Toto</w:t>
      </w:r>
      <w:r>
        <w:t xml:space="preserve">, used the same targets as </w:t>
      </w:r>
      <w:r>
        <w:rPr>
          <w:i/>
          <w:iCs/>
        </w:rPr>
        <w:t>Representation</w:t>
      </w:r>
      <w:r>
        <w:t xml:space="preserve">, but the cues </w:t>
      </w:r>
      <w:r>
        <w:lastRenderedPageBreak/>
        <w:t xml:space="preserve">provided only half of the respective figures to guide children’s choices, which children can use at about 38 months of age. This demonstrates that by three years of age, children’s symbolic competence is still fragile if additional steps such as the straightforward completion of a canonical shape </w:t>
      </w:r>
      <w:r w:rsidR="00EA675D">
        <w:t>are</w:t>
      </w:r>
      <w:r>
        <w:t xml:space="preserve"> necessary for referential inference. Two further conditions aimed at abstracting from the cue while still retaining characteristic features of the target shapes </w:t>
      </w:r>
      <w:r w:rsidR="00EA675D">
        <w:t>via</w:t>
      </w:r>
      <w:r>
        <w:t xml:space="preserve"> an analogy in form, namely whether they were more round or edgy. </w:t>
      </w:r>
      <w:r>
        <w:rPr>
          <w:i/>
          <w:iCs/>
        </w:rPr>
        <w:t>Simple Form Analogy</w:t>
      </w:r>
      <w:r>
        <w:t xml:space="preserve"> and </w:t>
      </w:r>
      <w:r>
        <w:rPr>
          <w:i/>
          <w:iCs/>
        </w:rPr>
        <w:t>Complex Form Analogy</w:t>
      </w:r>
      <w:r>
        <w:t xml:space="preserve"> yield success at about 50 months and 47 months. This is the first time a developmental setup features an analogy in shape as a means of disambiguation in graphic communication. Taken together, </w:t>
      </w:r>
      <w:r w:rsidR="00B046BA">
        <w:t>Study</w:t>
      </w:r>
      <w:r>
        <w:t xml:space="preserve"> 1 provides a within-subjects comparison of young children’s ability to read representational and metaphorical uses of form in graphic communication, showing that while iconicity marks the entry point for the comprehension of graphic cues, more abstract representations are only accessible by the fourth year.</w:t>
      </w:r>
    </w:p>
    <w:p w14:paraId="193A9C40" w14:textId="263F4363" w:rsidR="00B8759D" w:rsidRDefault="00000000" w:rsidP="00BF4828">
      <w:pPr>
        <w:pStyle w:val="Textkrper"/>
        <w:jc w:val="both"/>
      </w:pPr>
      <w:r>
        <w:t xml:space="preserve">Study 2 explored whether children can infer symbol-referent relationships based on orientation and position. In </w:t>
      </w:r>
      <w:r>
        <w:rPr>
          <w:i/>
          <w:iCs/>
        </w:rPr>
        <w:t>Absolute Position</w:t>
      </w:r>
      <w:r>
        <w:t xml:space="preserve">, cue and target placement were aligned in their frame of presentation (e.g. the paper that the symbol was drawn on) and the symbol-referent relation was established by the respective positions in their immediate visual context. Here children succeeded at approximately 44 months of age. In </w:t>
      </w:r>
      <w:r>
        <w:rPr>
          <w:i/>
          <w:iCs/>
        </w:rPr>
        <w:t>Relative Position</w:t>
      </w:r>
      <w:r>
        <w:t xml:space="preserve">, target and cue were composed of two figures each that were either closer together or further </w:t>
      </w:r>
      <w:r w:rsidR="0030105B">
        <w:t>apart or</w:t>
      </w:r>
      <w:r>
        <w:t xml:space="preserve"> aligned on a vertical or horizontal axis. Here children perform above chance at about 49 months of age. Success even prior to the fourth birthday in these conditions is remarkable as it requires children to identify and compare relations (</w:t>
      </w:r>
      <w:r>
        <w:rPr>
          <w:i/>
          <w:iCs/>
        </w:rPr>
        <w:t>Absolute Position</w:t>
      </w:r>
      <w:r>
        <w:t xml:space="preserve"> – figure/ground; </w:t>
      </w:r>
      <w:r>
        <w:rPr>
          <w:i/>
          <w:iCs/>
        </w:rPr>
        <w:t>Relative Position</w:t>
      </w:r>
      <w:r>
        <w:t xml:space="preserve"> – figure/figure) which is demanding even later throughout the preschool years in other contexts (Christie &amp; Gentner, 2014; Kroupin &amp; Carey, 2022b; Shivaram</w:t>
      </w:r>
      <w:r w:rsidR="0035011F">
        <w:t xml:space="preserve"> et al., </w:t>
      </w:r>
      <w:r>
        <w:t xml:space="preserve">2023). </w:t>
      </w:r>
      <w:r>
        <w:rPr>
          <w:i/>
          <w:iCs/>
        </w:rPr>
        <w:t>Orientation of Object</w:t>
      </w:r>
      <w:r>
        <w:t xml:space="preserve"> featured elongated shapes that were oriented either horizontally or vertically while cue </w:t>
      </w:r>
      <w:r>
        <w:lastRenderedPageBreak/>
        <w:t>and target shared the same direction. Previous research employing a same-different task indicates that children are sensitive to spatial alignment along a common axis in juxtaposed graphic displays no sooner than six to eight years of age (Zheng, Matlen, &amp; Gentner, 2022). In the context of our study, children succeeded at about 50 months. In summary, Study 2 addresses an interesting caveat in previous research by presenting stimulus sets where cue and target feature different shapes but are composed in similar ways. While this requires uncovering abstract relations, these relations are by design still based on resemblance on the level of the overall composition, and hence, cover a middle ground between iconic and abstract representations.</w:t>
      </w:r>
    </w:p>
    <w:p w14:paraId="7889070F" w14:textId="77777777" w:rsidR="00B8759D" w:rsidRDefault="00000000" w:rsidP="00BF4828">
      <w:pPr>
        <w:pStyle w:val="Textkrper"/>
        <w:jc w:val="both"/>
      </w:pPr>
      <w:r>
        <w:t xml:space="preserve">Study 3 set out to further reduce iconicity by drawing analogies in size and number. </w:t>
      </w:r>
      <w:r>
        <w:rPr>
          <w:i/>
          <w:iCs/>
        </w:rPr>
        <w:t>Number of Object</w:t>
      </w:r>
      <w:r>
        <w:t xml:space="preserve"> featured graphic displays with one or three items for target and distractor. </w:t>
      </w:r>
      <w:r>
        <w:rPr>
          <w:i/>
          <w:iCs/>
        </w:rPr>
        <w:t>Number of Feature</w:t>
      </w:r>
      <w:r>
        <w:t xml:space="preserve"> reuses the same cues but employs targets varying in number with regard to salient features (e.g., spikes or dents). Children succeed in both conditions at around 50 months. A different pattern emerges for the two conditions featuring size relationships. Children succeed at about 49 months of age in </w:t>
      </w:r>
      <w:r>
        <w:rPr>
          <w:i/>
          <w:iCs/>
        </w:rPr>
        <w:t>Size of Object</w:t>
      </w:r>
      <w:r>
        <w:t xml:space="preserve">, but ten months later in </w:t>
      </w:r>
      <w:r>
        <w:rPr>
          <w:i/>
          <w:iCs/>
        </w:rPr>
        <w:t>Size of Feature</w:t>
      </w:r>
      <w:r>
        <w:t>.</w:t>
      </w:r>
    </w:p>
    <w:p w14:paraId="45225B70" w14:textId="77777777" w:rsidR="00057B88" w:rsidRDefault="00000000" w:rsidP="00BF4828">
      <w:pPr>
        <w:pStyle w:val="Textkrper"/>
        <w:jc w:val="both"/>
      </w:pPr>
      <w:r>
        <w:t xml:space="preserve">A set of major findings emerges from the studies presented here. First, our results confirm that symbol-referent relationships are most accessible when based on iconicity, becoming increasingly difficult as visual similarity decreases (Ganea, Pickard, &amp; DeLoache, 2008). This progression likely reflects the fact that access to abstract information matures later in the preschool years (Callaghan, 2000). Furthermore, children are less likely to spontaneously align or compare stimuli when the disparity between comparands increases, a constraint that limits the discovery of non-obvious matches (Gentner &amp; Hoyos, 2017). These findings are of practical relevance for early childhood education as they showcase children’s ability to use various </w:t>
      </w:r>
      <w:r>
        <w:lastRenderedPageBreak/>
        <w:t xml:space="preserve">expressive dimensions in the graphic domain and can guide the design of pedagogical materials by showing specifically how accessible various ways of conveying meaning may be. </w:t>
      </w:r>
    </w:p>
    <w:p w14:paraId="3BE0B30D" w14:textId="2E7477BD" w:rsidR="00B8759D" w:rsidRDefault="00000000" w:rsidP="00BF4828">
      <w:pPr>
        <w:pStyle w:val="Textkrper"/>
        <w:jc w:val="both"/>
      </w:pPr>
      <w:r>
        <w:t>Second, the reduced accuracy in analogy-based and feature-referenced tasks are both consistent with evidence that younger children tend to focus on surface features rather than relations (Gentner &amp; Hoyos, 2017; Rattermann &amp; Gentner, 1998; Richland et al., 2006), making tasks that require attentional shifting or nested comparison structures particularly demanding (Halford et al., 1998). Shifting attention to different aspects of stimuli sets requires children to keep track of features they have explored. Therefore, relational or abstract as opposed to feature‑based processing taxes working memory and inhibitory control more strongly (Gick &amp; Holyoak, 1980; Goswami, 1991). This, in turn, points to aspects of cognitive maturation that are likely to foster children’s performance in the tasks outlined above, as seen in work on the development of executive functions — particularly the early emergence and developmental trajectories of working memory, inhibitory control, and cognitive flexibility in childhood (De Luca &amp; Leventer, 2010; Diamond, 2013; Reilly, Downer, &amp; Grimm, 2022). Fourth, just around their fourth birthday, children are generally able to identify various types of analogies spontaneously in unfamiliar symbolic displays. Previous findings have challenged assumptions of domain specificity in modalities such as graphic, gestural or verbal communication and rather highlighted the flexibility of symbolic and pragmatic abilities (Callaghan, 1999). Our findings champion a similar perspective with regard to various graphic dimensions and underline the flexibility of symbolic cognition across different symbol-referent relationships. For conditions that relied strongly on children to abstract from surface level features and focus on analogies in form, orientation, size and number, there is no strong evidence for sequences in the ages of success. Rather, children appear to master all symbol-referent relationships in the same age-</w:t>
      </w:r>
      <w:r>
        <w:lastRenderedPageBreak/>
        <w:t>window, which is indicative of convergent development in pragmatic and analogical reasoning skills in the fourth year.</w:t>
      </w:r>
    </w:p>
    <w:p w14:paraId="3641C314" w14:textId="31DAED90" w:rsidR="00B8759D" w:rsidRDefault="00000000" w:rsidP="00BF4828">
      <w:pPr>
        <w:pStyle w:val="Textkrper"/>
        <w:jc w:val="both"/>
      </w:pPr>
      <w:r>
        <w:t>To the extent that the studies presented above highlight the fourth birthday as a milestone in symbolic development, this connects to a rich literature on major developments in this period of middle-childhood. As change at this age is again rapid and foundational across a variety of cognitive processes (Karmiloff-Smith, 1994; Rakoczy, 2022), several factors are likely to contribute to the convergence of above-chance performance across the experimental conditions used here. What has been described as the four-year-revolution in social cognition endows children with a full-fledged meta-representational theory of mind and firmly developed belief-desire psychology (Gopnik &amp; Astington, 1988; Rakoczy, 2022; Wellman, Cross, &amp; Watson, 2001). Theory of mind performance, in turn, was shown to be correlated with representational insight into the standing-for-relationship of pictorial representations (Callaghan, Rochat, &amp; Corbit, 2012), as well as insight into communicative intent (Callaghan &amp; Rochat, 2008), and significant progress in perspective-taking abilities (Flavell</w:t>
      </w:r>
      <w:r w:rsidR="001850A4">
        <w:t xml:space="preserve"> et al.</w:t>
      </w:r>
      <w:r>
        <w:t>, 1981). All of which are necessary or conducive for the flexible and spontaneous interpretation of graphic displays as well as inference-based or pragmatically challenging communicative behavior broadly construed. Specifically helpful for the tasks employed here may be developmental gains typically occurring around the fourth birthday in the domain of analogical reasoning (Christie &amp; Gentner, 2014; Gentner, 1977; Shivaram et al., 2023), which are again fostered by a suite of executive function skills improving significantly during this important period in child development (Bohn</w:t>
      </w:r>
      <w:r w:rsidR="005331F6">
        <w:t xml:space="preserve"> et al.</w:t>
      </w:r>
      <w:r>
        <w:t xml:space="preserve">, 2023; Thibaut, French, &amp; Vezneva, 2010). Focusing on various aspects of the stimulus-combinations, working memory (Richland et al., 2006; Simms, Frausel, &amp; Richland, 2018) is crucial for keeping track of features children have explored. To succeed they are furthermore </w:t>
      </w:r>
      <w:r>
        <w:lastRenderedPageBreak/>
        <w:t>required to suppress irrelevant aspects of the stimuli and inhibit distracting impulses solving demanding tasks (Carlson &amp; Wang, 2007; Jablonski, 2014).</w:t>
      </w:r>
    </w:p>
    <w:p w14:paraId="13E5A970" w14:textId="77777777" w:rsidR="00B8759D" w:rsidRDefault="00000000" w:rsidP="00BF4828">
      <w:pPr>
        <w:pStyle w:val="Textkrper"/>
        <w:jc w:val="both"/>
      </w:pPr>
      <w:r>
        <w:t>While work on analogical reasoning abilities has highlighted that preschoolers are generally able to identify agreement in graphic displays and specifically involving size, number, and shape also at the age of four (Kroupin &amp; Carey, 2022b, 2022a), this has mostly been established in match-to-sample paradigms where children are conventionally presented with three items and prompted with a phrase such as “which ones go together” directly inducing the cognitive operation tested. In our task, children make matches and comparisons across various dimensions without any verbal scaffolding addressing the match-making process or the dimension of comparison and, hence, showcases abilities for implicit judgement across a wide variety of visual analogies. Therefore, our work provides a crucial extension to the literature on analogical reasoning by showing that children can actually put their developing skills to work in the practical context of a versatile communicative coordination game requiring both relational reasoning and pragmatic inference (Cooperrider &amp; Goldin-Meadow, 2017).</w:t>
      </w:r>
    </w:p>
    <w:p w14:paraId="1CD9F0CE" w14:textId="74CC03C0" w:rsidR="00B8759D" w:rsidRDefault="00000000" w:rsidP="00BF4828">
      <w:pPr>
        <w:pStyle w:val="Textkrper"/>
        <w:jc w:val="both"/>
      </w:pPr>
      <w:r>
        <w:t xml:space="preserve">The studies described here have limitations that future research needs to address. The combinations of outline drawings and geometric shapes we used here could also be presented in a standard match-to-sample procedure in which children are solely asked to find a match between cue and target. When directly instructed to match stimuli and without the need for considering context, children may succeed earlier. To connect the work presented here with the literature on analogical reasoning, future work should present children with the same set of stimuli in the context of both paradigms. Another general problem is that the project aims to establish developmental trajectories but does so only in a single, industrialized population (Henrich, Heine, &amp; Norenzayan, 2010) and with the relatively small number of about two participants for any </w:t>
      </w:r>
      <w:r>
        <w:lastRenderedPageBreak/>
        <w:t>month of age. Future work needs to address the role of enculturation and specifically the influence of permanent exposure to symbolic and pictorial illustrations, writing and numbers or depictions featuring canonical shapes - ideally doing so both by investigating a larger number of children drawing from various cultural settings, as well as less industrialized communities (Callaghan et al., 2012; Dehaene</w:t>
      </w:r>
      <w:r w:rsidR="00A9507E">
        <w:t xml:space="preserve"> et al.</w:t>
      </w:r>
      <w:r>
        <w:t>, 2006). Second, our work needs to be complemented with studies employing an individual-differences perspective to untangle the relative contributions of knowledge about various conventional systems of reference, pragmatic skills and the growth of basic level cognitive capacities. Finally, it would be highly valuable to complement the current results on the comprehension of unfamiliar symbols by establishing at what ages children would be able to use their skills in the production of graphic communication and, thereby, inform theories on the development of communication systems broadly construed (Bohn, Kachel, &amp; Tomasello, 2019; Callaghan, 1999; Nölle</w:t>
      </w:r>
      <w:r w:rsidR="008367A0">
        <w:t xml:space="preserve"> et al.</w:t>
      </w:r>
      <w:r>
        <w:t>, 2020; Raviv &amp; Arnon, 2018). The results here demonstrate that at least by the age of four, they would be apt receivers of symbolic creations whose reference is based on iconicity, synecdoche, alignment, orientation, as well as analogies in form, size and number.</w:t>
      </w:r>
      <w:r>
        <w:br w:type="page"/>
      </w:r>
    </w:p>
    <w:p w14:paraId="6FF7E214" w14:textId="77777777" w:rsidR="00B8759D" w:rsidRDefault="00000000">
      <w:pPr>
        <w:pStyle w:val="berschrift1"/>
      </w:pPr>
      <w:bookmarkStart w:id="27" w:name="references"/>
      <w:bookmarkEnd w:id="26"/>
      <w:r>
        <w:lastRenderedPageBreak/>
        <w:t>References</w:t>
      </w:r>
    </w:p>
    <w:p w14:paraId="13A911E7" w14:textId="7DB592BE" w:rsidR="00B8759D" w:rsidRDefault="00000000">
      <w:pPr>
        <w:pStyle w:val="Literaturverzeichnis"/>
      </w:pPr>
      <w:bookmarkStart w:id="28" w:name="ref-behne2012twelve"/>
      <w:bookmarkStart w:id="29" w:name="refs"/>
      <w:r>
        <w:t xml:space="preserve">Behne, T., Liszkowski, U., Carpenter, M., &amp; Tomasello, M. (2012). Twelve-month-olds’ comprehension and production of pointing. </w:t>
      </w:r>
      <w:r>
        <w:rPr>
          <w:i/>
          <w:iCs/>
        </w:rPr>
        <w:t>British Journal of Developmental Psychology</w:t>
      </w:r>
      <w:r>
        <w:t xml:space="preserve">, </w:t>
      </w:r>
      <w:r>
        <w:rPr>
          <w:i/>
          <w:iCs/>
        </w:rPr>
        <w:t>30</w:t>
      </w:r>
      <w:r>
        <w:t>(3), 359–375.</w:t>
      </w:r>
      <w:r w:rsidR="00974926">
        <w:t xml:space="preserve"> </w:t>
      </w:r>
      <w:hyperlink r:id="rId22" w:history="1">
        <w:r w:rsidR="00974926" w:rsidRPr="00974926">
          <w:rPr>
            <w:rStyle w:val="Hyperlink"/>
          </w:rPr>
          <w:t>https://doi.org/10.1111/j.2044-835X.2011.02043.x</w:t>
        </w:r>
      </w:hyperlink>
    </w:p>
    <w:p w14:paraId="7C88006E" w14:textId="7055F1AB" w:rsidR="00974926" w:rsidRPr="00DA5238" w:rsidRDefault="00000000" w:rsidP="00974926">
      <w:pPr>
        <w:pStyle w:val="Literaturverzeichnis"/>
      </w:pPr>
      <w:bookmarkStart w:id="30" w:name="ref-bohn2019natural"/>
      <w:bookmarkEnd w:id="28"/>
      <w:r>
        <w:t xml:space="preserve">Bohn, M., Call, J., &amp; Tomasello, M. (2019). Natural reference: A </w:t>
      </w:r>
      <w:proofErr w:type="spellStart"/>
      <w:r>
        <w:t>phylo</w:t>
      </w:r>
      <w:proofErr w:type="spellEnd"/>
      <w:r>
        <w:t>-</w:t>
      </w:r>
      <w:r w:rsidR="00974926">
        <w:t xml:space="preserve"> </w:t>
      </w:r>
      <w:r>
        <w:t xml:space="preserve">and ontogenetic perspective on the comprehension of iconic gestures and vocalizations. </w:t>
      </w:r>
      <w:r>
        <w:rPr>
          <w:i/>
          <w:iCs/>
        </w:rPr>
        <w:t>Developmental Science</w:t>
      </w:r>
      <w:r>
        <w:t xml:space="preserve">, </w:t>
      </w:r>
      <w:r>
        <w:rPr>
          <w:i/>
          <w:iCs/>
        </w:rPr>
        <w:t>22</w:t>
      </w:r>
      <w:r>
        <w:t>(2), e12757.</w:t>
      </w:r>
      <w:r w:rsidR="00974926">
        <w:t xml:space="preserve"> </w:t>
      </w:r>
      <w:hyperlink r:id="rId23" w:history="1">
        <w:r w:rsidR="00974926" w:rsidRPr="00DA5238">
          <w:rPr>
            <w:rStyle w:val="Hyperlink"/>
          </w:rPr>
          <w:t>https://doi.org/10.1111/desc.12757</w:t>
        </w:r>
      </w:hyperlink>
    </w:p>
    <w:p w14:paraId="742D1CE0" w14:textId="7A4DA3C8" w:rsidR="00B8759D" w:rsidRDefault="00000000">
      <w:pPr>
        <w:pStyle w:val="Literaturverzeichnis"/>
      </w:pPr>
      <w:bookmarkStart w:id="31" w:name="ref-bohn2019young"/>
      <w:bookmarkEnd w:id="30"/>
      <w:r>
        <w:t xml:space="preserve">Bohn, M., Kachel, G., &amp; Tomasello, M. (2019). Young children spontaneously recreate core properties of language in a new modality. </w:t>
      </w:r>
      <w:r>
        <w:rPr>
          <w:i/>
          <w:iCs/>
        </w:rPr>
        <w:t>Proceedings of the National Academy of Sciences</w:t>
      </w:r>
      <w:r>
        <w:t xml:space="preserve">, </w:t>
      </w:r>
      <w:r>
        <w:rPr>
          <w:i/>
          <w:iCs/>
        </w:rPr>
        <w:t>116</w:t>
      </w:r>
      <w:r>
        <w:t>(51), 26072–26077.</w:t>
      </w:r>
      <w:r w:rsidR="00974926">
        <w:t xml:space="preserve"> </w:t>
      </w:r>
      <w:hyperlink r:id="rId24" w:history="1">
        <w:r w:rsidR="00974926" w:rsidRPr="00974926">
          <w:rPr>
            <w:rStyle w:val="Hyperlink"/>
          </w:rPr>
          <w:t>https://doi.org/10.1073/pnas.1904871116</w:t>
        </w:r>
      </w:hyperlink>
    </w:p>
    <w:p w14:paraId="01B9AA40" w14:textId="62BF0C80" w:rsidR="00B8759D" w:rsidRDefault="00000000">
      <w:pPr>
        <w:pStyle w:val="Literaturverzeichnis"/>
      </w:pPr>
      <w:bookmarkStart w:id="32" w:name="ref-bohn2023individual"/>
      <w:bookmarkEnd w:id="31"/>
      <w:r w:rsidRPr="00DA5238">
        <w:rPr>
          <w:lang w:val="de-DE"/>
        </w:rPr>
        <w:t xml:space="preserve">Bohn, M., Tessler, M. H., Kordt, C., Hausmann, T., &amp; Frank, M. C. (2023). </w:t>
      </w:r>
      <w:r>
        <w:t xml:space="preserve">An individual differences perspective on pragmatic abilities in the preschool years. </w:t>
      </w:r>
      <w:r>
        <w:rPr>
          <w:i/>
          <w:iCs/>
        </w:rPr>
        <w:t>Developmental Science</w:t>
      </w:r>
      <w:r>
        <w:t xml:space="preserve">, </w:t>
      </w:r>
      <w:r>
        <w:rPr>
          <w:i/>
          <w:iCs/>
        </w:rPr>
        <w:t>26</w:t>
      </w:r>
      <w:r>
        <w:t>(6), e13401.</w:t>
      </w:r>
      <w:r w:rsidR="00974926">
        <w:t xml:space="preserve"> </w:t>
      </w:r>
      <w:hyperlink r:id="rId25" w:history="1">
        <w:r w:rsidR="00974926" w:rsidRPr="00974926">
          <w:rPr>
            <w:rStyle w:val="Hyperlink"/>
          </w:rPr>
          <w:t>https://doi.org/10.1111/desc.13401</w:t>
        </w:r>
      </w:hyperlink>
    </w:p>
    <w:p w14:paraId="5ECFF321" w14:textId="77777777" w:rsidR="00974926" w:rsidRDefault="00974926">
      <w:pPr>
        <w:pStyle w:val="Literaturverzeichnis"/>
      </w:pPr>
      <w:bookmarkStart w:id="33" w:name="ref-burkner2017brms"/>
      <w:bookmarkEnd w:id="32"/>
      <w:r w:rsidRPr="00974926">
        <w:t xml:space="preserve">Bruner, J. (1996). </w:t>
      </w:r>
      <w:r w:rsidRPr="00974926">
        <w:rPr>
          <w:i/>
          <w:iCs/>
        </w:rPr>
        <w:t>The Culture of Education</w:t>
      </w:r>
      <w:r w:rsidRPr="00974926">
        <w:t xml:space="preserve">. Cambridge, MA and London, England: Harvard University Press. </w:t>
      </w:r>
      <w:hyperlink r:id="rId26" w:history="1">
        <w:r w:rsidRPr="00974926">
          <w:rPr>
            <w:rStyle w:val="Hyperlink"/>
          </w:rPr>
          <w:t>https://doi.org/10.4159/9780674251083</w:t>
        </w:r>
      </w:hyperlink>
    </w:p>
    <w:p w14:paraId="0418D22A" w14:textId="4ED581C2" w:rsidR="00B8759D" w:rsidRDefault="003004B0">
      <w:pPr>
        <w:pStyle w:val="Literaturverzeichnis"/>
      </w:pPr>
      <w:r w:rsidRPr="003004B0">
        <w:t xml:space="preserve">Bürkner, P.-C. (2017). brms: An R Package for Bayesian Multilevel Models Using Stan. </w:t>
      </w:r>
      <w:r w:rsidRPr="003004B0">
        <w:rPr>
          <w:i/>
          <w:iCs/>
        </w:rPr>
        <w:t>Journal of Statistical Software</w:t>
      </w:r>
      <w:r w:rsidRPr="003004B0">
        <w:t xml:space="preserve">, </w:t>
      </w:r>
      <w:r w:rsidRPr="003004B0">
        <w:rPr>
          <w:i/>
          <w:iCs/>
        </w:rPr>
        <w:t>80</w:t>
      </w:r>
      <w:r w:rsidRPr="003004B0">
        <w:t>(1), 1–28. https://doi.org/10.18637/jss.v080.i01</w:t>
      </w:r>
    </w:p>
    <w:p w14:paraId="1431F4CD" w14:textId="77777777" w:rsidR="005F2473" w:rsidRDefault="005F2473" w:rsidP="005F2473">
      <w:pPr>
        <w:pStyle w:val="Literaturverzeichnis"/>
      </w:pPr>
      <w:bookmarkStart w:id="34" w:name="ref-CALLAGHAN1990175"/>
      <w:bookmarkStart w:id="35" w:name="ref-callaghan1999early"/>
      <w:bookmarkEnd w:id="33"/>
      <w:r>
        <w:t xml:space="preserve">Callaghan, T. C. (1990). Chapter 9 texture segregation in young children. In J. T. Enns (Ed.), </w:t>
      </w:r>
      <w:r>
        <w:rPr>
          <w:i/>
          <w:iCs/>
        </w:rPr>
        <w:t>The development of attention</w:t>
      </w:r>
      <w:r>
        <w:t xml:space="preserve"> (pp. 175–195). North-Holland. https://doi.org/</w:t>
      </w:r>
      <w:hyperlink r:id="rId27">
        <w:r>
          <w:rPr>
            <w:rStyle w:val="Hyperlink"/>
          </w:rPr>
          <w:t>https://doi.org/10.1016/S0166-4115(08)60456-2</w:t>
        </w:r>
      </w:hyperlink>
    </w:p>
    <w:bookmarkEnd w:id="34"/>
    <w:p w14:paraId="71602693" w14:textId="77777777" w:rsidR="005F2473" w:rsidRPr="005F2473" w:rsidRDefault="00000000" w:rsidP="005F2473">
      <w:pPr>
        <w:pStyle w:val="Literaturverzeichnis"/>
      </w:pPr>
      <w:r>
        <w:lastRenderedPageBreak/>
        <w:t xml:space="preserve">Callaghan, T. (1999). Early understanding and production of graphic symbols. </w:t>
      </w:r>
      <w:r>
        <w:rPr>
          <w:i/>
          <w:iCs/>
        </w:rPr>
        <w:t>Child Development</w:t>
      </w:r>
      <w:r>
        <w:t xml:space="preserve">, </w:t>
      </w:r>
      <w:r>
        <w:rPr>
          <w:i/>
          <w:iCs/>
        </w:rPr>
        <w:t>70</w:t>
      </w:r>
      <w:r>
        <w:t>(6), 1314–1324.</w:t>
      </w:r>
      <w:r w:rsidR="005F2473">
        <w:t xml:space="preserve"> </w:t>
      </w:r>
      <w:hyperlink r:id="rId28" w:history="1">
        <w:r w:rsidR="005F2473" w:rsidRPr="005F2473">
          <w:rPr>
            <w:rStyle w:val="Hyperlink"/>
          </w:rPr>
          <w:t>https://doi.org/10.1111/1467-8624.00096</w:t>
        </w:r>
      </w:hyperlink>
    </w:p>
    <w:p w14:paraId="4FFD66A3" w14:textId="77777777" w:rsidR="005F2473" w:rsidRDefault="005F2473" w:rsidP="005F2473">
      <w:pPr>
        <w:pStyle w:val="Literaturverzeichnis"/>
      </w:pPr>
      <w:bookmarkStart w:id="36" w:name="ref-callaghan2015development"/>
      <w:bookmarkStart w:id="37" w:name="ref-CALLAGHAN2000"/>
      <w:bookmarkEnd w:id="35"/>
      <w:r>
        <w:t xml:space="preserve">Callaghan, T. C. (2000). Factors affecting children’s graphic symbol use in the third year: Language, similarity, and iconicity. </w:t>
      </w:r>
      <w:r>
        <w:rPr>
          <w:i/>
          <w:iCs/>
        </w:rPr>
        <w:t>Cognitive Development</w:t>
      </w:r>
      <w:r>
        <w:t xml:space="preserve">, </w:t>
      </w:r>
      <w:r>
        <w:rPr>
          <w:i/>
          <w:iCs/>
        </w:rPr>
        <w:t>15</w:t>
      </w:r>
      <w:r>
        <w:t>(2), 185–214. https://doi.org/</w:t>
      </w:r>
      <w:hyperlink r:id="rId29">
        <w:r>
          <w:rPr>
            <w:rStyle w:val="Hyperlink"/>
          </w:rPr>
          <w:t>https://doi.org/10.1016/S0885-2014(00)00026-5</w:t>
        </w:r>
      </w:hyperlink>
    </w:p>
    <w:p w14:paraId="0862CB44" w14:textId="77777777" w:rsidR="00A97C20" w:rsidRDefault="00A97C20">
      <w:pPr>
        <w:pStyle w:val="Literaturverzeichnis"/>
      </w:pPr>
      <w:bookmarkStart w:id="38" w:name="ref-callaghan2008artist"/>
      <w:bookmarkEnd w:id="36"/>
      <w:bookmarkEnd w:id="37"/>
      <w:r w:rsidRPr="00A97C20">
        <w:t xml:space="preserve">Callaghan, T., &amp; Corbit, J. (2015). The development of symbolic representation. In L. S. Liben &amp; U. Müller (Vol. Eds.) &amp; R. M. Lerner (Editor-in-Chief), </w:t>
      </w:r>
      <w:r w:rsidRPr="00A97C20">
        <w:rPr>
          <w:i/>
          <w:iCs/>
        </w:rPr>
        <w:t>Handbook of child psychology and developmental science: Vol. 2. Cognitive processes</w:t>
      </w:r>
      <w:r w:rsidRPr="00A97C20">
        <w:t xml:space="preserve"> (7th ed., pp. 250–297). Wiley. </w:t>
      </w:r>
      <w:hyperlink r:id="rId30" w:tgtFrame="_blank" w:history="1">
        <w:r w:rsidRPr="00A97C20">
          <w:rPr>
            <w:rStyle w:val="Hyperlink"/>
          </w:rPr>
          <w:t>https://doi.org/10.1002/9781118963418.childpsy207</w:t>
        </w:r>
      </w:hyperlink>
    </w:p>
    <w:p w14:paraId="18A2D7A3" w14:textId="4B4FBBB6" w:rsidR="00FB5E88" w:rsidRDefault="00FB5E88">
      <w:pPr>
        <w:pStyle w:val="Literaturverzeichnis"/>
      </w:pPr>
      <w:r w:rsidRPr="00FB5E88">
        <w:t xml:space="preserve">Callaghan, T. C., &amp; Rochat, P. (2008). Children's understanding of artist-picture relations: Implications for their theories of pictures. In C. Milbrath &amp; H. M. Trautner (Eds.), </w:t>
      </w:r>
      <w:r w:rsidRPr="00FB5E88">
        <w:rPr>
          <w:i/>
          <w:iCs/>
        </w:rPr>
        <w:t>Children's understanding and production of pictures, drawings, and art: Theoretical and empirical approaches</w:t>
      </w:r>
      <w:r w:rsidRPr="00FB5E88">
        <w:t xml:space="preserve"> (pp. 187–205). Hogrefe &amp; Huber Publishers.</w:t>
      </w:r>
    </w:p>
    <w:p w14:paraId="657806F5" w14:textId="256F14EC" w:rsidR="007F32C3" w:rsidRDefault="007F32C3">
      <w:pPr>
        <w:pStyle w:val="Literaturverzeichnis"/>
      </w:pPr>
      <w:bookmarkStart w:id="39" w:name="ref-carlson2007inhibitory"/>
      <w:bookmarkEnd w:id="38"/>
      <w:r w:rsidRPr="007F32C3">
        <w:t xml:space="preserve">Callaghan, T. C., Rochat, P., &amp; Corbit, J. (2012). Young Children’s Knowledge of the Representational Function of Pictorial Symbols: Development Across the Preschool Years in Three Cultures. </w:t>
      </w:r>
      <w:r w:rsidRPr="007F32C3">
        <w:rPr>
          <w:i/>
          <w:iCs/>
        </w:rPr>
        <w:t>Journal of Cognition and Development</w:t>
      </w:r>
      <w:r w:rsidRPr="007F32C3">
        <w:t xml:space="preserve">, </w:t>
      </w:r>
      <w:r w:rsidRPr="007F32C3">
        <w:rPr>
          <w:i/>
          <w:iCs/>
        </w:rPr>
        <w:t>13</w:t>
      </w:r>
      <w:r w:rsidRPr="007F32C3">
        <w:t xml:space="preserve">(3), 320–353. </w:t>
      </w:r>
      <w:hyperlink r:id="rId31" w:history="1">
        <w:r w:rsidRPr="0084668C">
          <w:rPr>
            <w:rStyle w:val="Hyperlink"/>
          </w:rPr>
          <w:t>https://doi.org/10.1080/15248372.2011.587853</w:t>
        </w:r>
      </w:hyperlink>
    </w:p>
    <w:p w14:paraId="25770881" w14:textId="7DACD5B1" w:rsidR="00B8759D" w:rsidRDefault="00000000">
      <w:pPr>
        <w:pStyle w:val="Literaturverzeichnis"/>
      </w:pPr>
      <w:r>
        <w:t xml:space="preserve">Carlson, S. M., &amp; Wang, T. S. (2007). Inhibitory control and emotion regulation in preschool children. </w:t>
      </w:r>
      <w:r>
        <w:rPr>
          <w:i/>
          <w:iCs/>
        </w:rPr>
        <w:t>Cognitive Development</w:t>
      </w:r>
      <w:r>
        <w:t xml:space="preserve">, </w:t>
      </w:r>
      <w:r>
        <w:rPr>
          <w:i/>
          <w:iCs/>
        </w:rPr>
        <w:t>22</w:t>
      </w:r>
      <w:r>
        <w:t>(4), 489–510.</w:t>
      </w:r>
      <w:r w:rsidR="007F32C3">
        <w:t xml:space="preserve"> </w:t>
      </w:r>
      <w:hyperlink r:id="rId32" w:tgtFrame="_blank" w:history="1">
        <w:r w:rsidR="007F32C3" w:rsidRPr="007F32C3">
          <w:rPr>
            <w:rStyle w:val="Hyperlink"/>
          </w:rPr>
          <w:t>10.1016/j.cogdev.2007.08.002</w:t>
        </w:r>
      </w:hyperlink>
    </w:p>
    <w:p w14:paraId="04ABFB74" w14:textId="380348AD" w:rsidR="007F32C3" w:rsidRPr="00DA5238" w:rsidRDefault="007F32C3" w:rsidP="007F32C3">
      <w:pPr>
        <w:pStyle w:val="Literaturverzeichnis"/>
      </w:pPr>
      <w:bookmarkStart w:id="40" w:name="ref-cleveland1984graphical"/>
      <w:bookmarkEnd w:id="39"/>
      <w:r w:rsidRPr="00D47A28">
        <w:t xml:space="preserve">Christie, S. and Gentner, D. (2014), Language Helps Children Succeed on a Classic Analogy Task. </w:t>
      </w:r>
      <w:r w:rsidRPr="00DA5238">
        <w:t>Cogn</w:t>
      </w:r>
      <w:r w:rsidR="00D47A28" w:rsidRPr="00DA5238">
        <w:t>itive</w:t>
      </w:r>
      <w:r w:rsidRPr="00DA5238">
        <w:t xml:space="preserve"> Sci</w:t>
      </w:r>
      <w:r w:rsidR="00D47A28" w:rsidRPr="00DA5238">
        <w:t>ence</w:t>
      </w:r>
      <w:r w:rsidRPr="00DA5238">
        <w:t xml:space="preserve">, 38: 383-397. </w:t>
      </w:r>
      <w:hyperlink r:id="rId33" w:history="1">
        <w:r w:rsidRPr="00DA5238">
          <w:rPr>
            <w:rStyle w:val="Hyperlink"/>
          </w:rPr>
          <w:t>https://doi.org/10.1111/cogs.12099</w:t>
        </w:r>
      </w:hyperlink>
    </w:p>
    <w:p w14:paraId="65E1C68E" w14:textId="7ADD32B0" w:rsidR="00DD0C70" w:rsidRPr="00DD0C70" w:rsidRDefault="00DD0C70" w:rsidP="00DD0C70">
      <w:pPr>
        <w:pStyle w:val="Literaturverzeichnis"/>
      </w:pPr>
      <w:bookmarkStart w:id="41" w:name="ref-cooperrider2017gesture"/>
      <w:bookmarkEnd w:id="40"/>
      <w:r w:rsidRPr="00DD0C70">
        <w:lastRenderedPageBreak/>
        <w:t xml:space="preserve">Cleveland, W. S., &amp; McGill, R. (1984). Graphical Perception: Theory, Experimentation, and Application to the Development of Graphical Methods. </w:t>
      </w:r>
      <w:r w:rsidRPr="00DD0C70">
        <w:rPr>
          <w:i/>
          <w:iCs/>
        </w:rPr>
        <w:t>Journal of the American Statistical Association</w:t>
      </w:r>
      <w:r w:rsidRPr="00DD0C70">
        <w:t xml:space="preserve">, </w:t>
      </w:r>
      <w:r w:rsidRPr="00DD0C70">
        <w:rPr>
          <w:i/>
          <w:iCs/>
        </w:rPr>
        <w:t>79</w:t>
      </w:r>
      <w:r w:rsidRPr="00DD0C70">
        <w:t>(387), 531–554.</w:t>
      </w:r>
      <w:r>
        <w:t xml:space="preserve"> </w:t>
      </w:r>
      <w:hyperlink r:id="rId34" w:history="1">
        <w:r w:rsidRPr="00DD0C70">
          <w:rPr>
            <w:rStyle w:val="Hyperlink"/>
          </w:rPr>
          <w:t>https://doi.org/10.1080/01621459.1984.10478080</w:t>
        </w:r>
      </w:hyperlink>
      <w:r w:rsidRPr="00DD0C70">
        <w:t xml:space="preserve"> </w:t>
      </w:r>
    </w:p>
    <w:p w14:paraId="63F4B86D" w14:textId="6E0AFA17" w:rsidR="001C4AA1" w:rsidRPr="001C4AA1" w:rsidRDefault="001C4AA1">
      <w:pPr>
        <w:pStyle w:val="Literaturverzeichnis"/>
        <w:rPr>
          <w:lang w:val="it-IT"/>
        </w:rPr>
      </w:pPr>
      <w:bookmarkStart w:id="42" w:name="ref-deluca2010developmental"/>
      <w:bookmarkEnd w:id="41"/>
      <w:r w:rsidRPr="001C4AA1">
        <w:t>Cooperrider, K. and Goldin-Meadow, S. (2017)</w:t>
      </w:r>
      <w:r>
        <w:t>.</w:t>
      </w:r>
      <w:r w:rsidRPr="001C4AA1">
        <w:t xml:space="preserve"> When Gesture Becomes Analogy. </w:t>
      </w:r>
      <w:r w:rsidRPr="001C4AA1">
        <w:rPr>
          <w:i/>
          <w:iCs/>
        </w:rPr>
        <w:t>Topics in Cognitive Science</w:t>
      </w:r>
      <w:r w:rsidRPr="001C4AA1">
        <w:t xml:space="preserve">, 9: 719-737. </w:t>
      </w:r>
      <w:hyperlink r:id="rId35" w:history="1">
        <w:r w:rsidRPr="001C4AA1">
          <w:rPr>
            <w:rStyle w:val="Hyperlink"/>
            <w:lang w:val="it-IT"/>
          </w:rPr>
          <w:t>https://doi.org/10.1111/tops.12276</w:t>
        </w:r>
      </w:hyperlink>
    </w:p>
    <w:p w14:paraId="2800D1FC" w14:textId="039FA31F" w:rsidR="00B8759D" w:rsidRDefault="00000000">
      <w:pPr>
        <w:pStyle w:val="Literaturverzeichnis"/>
      </w:pPr>
      <w:r w:rsidRPr="001C4AA1">
        <w:rPr>
          <w:lang w:val="it-IT"/>
        </w:rPr>
        <w:t xml:space="preserve">De Luca, C. R., &amp; Leventer, R. J. (2010). </w:t>
      </w:r>
      <w:r>
        <w:t>Developmental trajectories of executive functions across the lifespan. In</w:t>
      </w:r>
      <w:r w:rsidR="006B5514">
        <w:t xml:space="preserve"> </w:t>
      </w:r>
      <w:r w:rsidR="006B5514" w:rsidRPr="006B5514">
        <w:t>V</w:t>
      </w:r>
      <w:r w:rsidR="006B5514">
        <w:t>.</w:t>
      </w:r>
      <w:r w:rsidR="006B5514" w:rsidRPr="006B5514">
        <w:t xml:space="preserve"> Anderson</w:t>
      </w:r>
      <w:r w:rsidR="006B5514">
        <w:t xml:space="preserve"> &amp;</w:t>
      </w:r>
      <w:r w:rsidR="006B5514" w:rsidRPr="006B5514">
        <w:t xml:space="preserve"> R</w:t>
      </w:r>
      <w:r w:rsidR="006B5514">
        <w:t>.</w:t>
      </w:r>
      <w:r w:rsidR="006B5514" w:rsidRPr="006B5514">
        <w:t xml:space="preserve"> Jacobs</w:t>
      </w:r>
      <w:r w:rsidR="006B5514">
        <w:t xml:space="preserve"> &amp;</w:t>
      </w:r>
      <w:r w:rsidR="006B5514" w:rsidRPr="006B5514">
        <w:t xml:space="preserve"> P</w:t>
      </w:r>
      <w:r w:rsidR="006B5514">
        <w:t>.</w:t>
      </w:r>
      <w:r w:rsidR="006B5514" w:rsidRPr="006B5514">
        <w:t xml:space="preserve"> J. Anderson</w:t>
      </w:r>
      <w:r w:rsidR="006B5514">
        <w:t xml:space="preserve"> (Eds):</w:t>
      </w:r>
      <w:r>
        <w:t xml:space="preserve"> </w:t>
      </w:r>
      <w:r>
        <w:rPr>
          <w:i/>
          <w:iCs/>
        </w:rPr>
        <w:t>Executive functions and the frontal lobes</w:t>
      </w:r>
      <w:r>
        <w:t xml:space="preserve"> (pp. 57–90). Psychology Press.</w:t>
      </w:r>
      <w:r w:rsidR="006B5514">
        <w:t xml:space="preserve"> </w:t>
      </w:r>
      <w:hyperlink r:id="rId36" w:history="1">
        <w:r w:rsidR="006B5514" w:rsidRPr="0084668C">
          <w:rPr>
            <w:rStyle w:val="Hyperlink"/>
          </w:rPr>
          <w:t xml:space="preserve">https://doi.org/10.4324/9780203837863 </w:t>
        </w:r>
      </w:hyperlink>
    </w:p>
    <w:p w14:paraId="42847BC6" w14:textId="1FDE3BF6" w:rsidR="00B8759D" w:rsidRDefault="00000000">
      <w:pPr>
        <w:pStyle w:val="Literaturverzeichnis"/>
      </w:pPr>
      <w:bookmarkStart w:id="43" w:name="ref-Dehaene2009reading"/>
      <w:bookmarkEnd w:id="42"/>
      <w:r>
        <w:t xml:space="preserve">Dehaene, S. (2009). </w:t>
      </w:r>
      <w:r>
        <w:rPr>
          <w:i/>
          <w:iCs/>
        </w:rPr>
        <w:t>Reading in the brain: The new science of how we read</w:t>
      </w:r>
      <w:r>
        <w:t>: Penguin.</w:t>
      </w:r>
    </w:p>
    <w:p w14:paraId="6F8D42DA" w14:textId="1C214DF3" w:rsidR="00B8759D" w:rsidRDefault="00000000">
      <w:pPr>
        <w:pStyle w:val="Literaturverzeichnis"/>
      </w:pPr>
      <w:bookmarkStart w:id="44" w:name="ref-dehaene2006core"/>
      <w:bookmarkEnd w:id="43"/>
      <w:r w:rsidRPr="00CE6E07">
        <w:rPr>
          <w:lang w:val="it-IT"/>
        </w:rPr>
        <w:t xml:space="preserve">Dehaene, S., Izard, V., Pica, P., &amp; Spelke, E. (2006). </w:t>
      </w:r>
      <w:r>
        <w:t xml:space="preserve">Core knowledge of geometry in an amazonian indigene group. </w:t>
      </w:r>
      <w:r>
        <w:rPr>
          <w:i/>
          <w:iCs/>
        </w:rPr>
        <w:t>Science</w:t>
      </w:r>
      <w:r>
        <w:t xml:space="preserve">, </w:t>
      </w:r>
      <w:r>
        <w:rPr>
          <w:i/>
          <w:iCs/>
        </w:rPr>
        <w:t>311</w:t>
      </w:r>
      <w:r>
        <w:t>(5759), 381–384.</w:t>
      </w:r>
      <w:r w:rsidR="006B5514">
        <w:t xml:space="preserve"> </w:t>
      </w:r>
      <w:hyperlink r:id="rId37" w:history="1">
        <w:r w:rsidR="006B5514" w:rsidRPr="006B5514">
          <w:rPr>
            <w:rStyle w:val="Hyperlink"/>
          </w:rPr>
          <w:t>10.1126/science.1121739</w:t>
        </w:r>
      </w:hyperlink>
    </w:p>
    <w:p w14:paraId="5B1E35B6" w14:textId="77777777" w:rsidR="006B5514" w:rsidRDefault="006B5514">
      <w:pPr>
        <w:pStyle w:val="Literaturverzeichnis"/>
      </w:pPr>
      <w:bookmarkStart w:id="45" w:name="ref-DeLoache1995early"/>
      <w:bookmarkEnd w:id="44"/>
      <w:r w:rsidRPr="006B5514">
        <w:t xml:space="preserve">Judy S DeLoache, Symbolic Functioning in Very Young Children: Understanding of Pictures and Models, </w:t>
      </w:r>
      <w:r w:rsidRPr="006B5514">
        <w:rPr>
          <w:i/>
          <w:iCs/>
        </w:rPr>
        <w:t>Child Development</w:t>
      </w:r>
      <w:r w:rsidRPr="006B5514">
        <w:t xml:space="preserve">, Volume 62, Issue 4, August 1991, Pages 736–752, </w:t>
      </w:r>
      <w:hyperlink r:id="rId38" w:history="1">
        <w:r w:rsidRPr="006B5514">
          <w:rPr>
            <w:rStyle w:val="Hyperlink"/>
          </w:rPr>
          <w:t>https://doi.org/10.1111/j.1467-8624.1991.tb01566.x</w:t>
        </w:r>
      </w:hyperlink>
    </w:p>
    <w:p w14:paraId="5F593024" w14:textId="5AFB8A80" w:rsidR="00B8759D" w:rsidRDefault="00000000">
      <w:pPr>
        <w:pStyle w:val="Literaturverzeichnis"/>
      </w:pPr>
      <w:r>
        <w:t xml:space="preserve">DeLoache, J. S. (1995). Early understanding and use of symbols: The model </w:t>
      </w:r>
      <w:proofErr w:type="spellStart"/>
      <w:r>
        <w:t>model</w:t>
      </w:r>
      <w:proofErr w:type="spellEnd"/>
      <w:r>
        <w:t xml:space="preserve">. </w:t>
      </w:r>
      <w:r>
        <w:rPr>
          <w:i/>
          <w:iCs/>
        </w:rPr>
        <w:t>Current Directions in Cognitive Science</w:t>
      </w:r>
      <w:r>
        <w:t xml:space="preserve">, </w:t>
      </w:r>
      <w:r>
        <w:rPr>
          <w:i/>
          <w:iCs/>
        </w:rPr>
        <w:t>4</w:t>
      </w:r>
      <w:r>
        <w:t>, 109–113.</w:t>
      </w:r>
      <w:r w:rsidR="006B5514">
        <w:t xml:space="preserve"> </w:t>
      </w:r>
      <w:hyperlink r:id="rId39" w:history="1">
        <w:r w:rsidR="006B5514" w:rsidRPr="006B5514">
          <w:rPr>
            <w:rStyle w:val="Hyperlink"/>
          </w:rPr>
          <w:t>https://doi.org/10.1111/1467-8721.ep10772</w:t>
        </w:r>
      </w:hyperlink>
    </w:p>
    <w:p w14:paraId="7B98D14E" w14:textId="1A86F2C6" w:rsidR="00B8759D" w:rsidRDefault="00000000">
      <w:pPr>
        <w:pStyle w:val="Literaturverzeichnis"/>
      </w:pPr>
      <w:bookmarkStart w:id="46" w:name="ref-deloache2004becoming"/>
      <w:bookmarkEnd w:id="45"/>
      <w:r>
        <w:t xml:space="preserve">DeLoache, J. S. (2004). Becoming symbol-minded. </w:t>
      </w:r>
      <w:r>
        <w:rPr>
          <w:i/>
          <w:iCs/>
        </w:rPr>
        <w:t>Trends in Cognitive Sciences</w:t>
      </w:r>
      <w:r>
        <w:t xml:space="preserve">, </w:t>
      </w:r>
      <w:r>
        <w:rPr>
          <w:i/>
          <w:iCs/>
        </w:rPr>
        <w:t>8</w:t>
      </w:r>
      <w:r>
        <w:t>(2), 66–70.</w:t>
      </w:r>
      <w:r w:rsidR="006B5514" w:rsidRPr="006B5514">
        <w:t xml:space="preserve"> </w:t>
      </w:r>
      <w:hyperlink r:id="rId40" w:tgtFrame="_blank" w:history="1">
        <w:r w:rsidR="006B5514" w:rsidRPr="006B5514">
          <w:rPr>
            <w:rStyle w:val="Hyperlink"/>
          </w:rPr>
          <w:t xml:space="preserve">10.1016/j.tics.2003.12.004 </w:t>
        </w:r>
      </w:hyperlink>
      <w:r w:rsidR="006B5514">
        <w:t xml:space="preserve">  </w:t>
      </w:r>
    </w:p>
    <w:p w14:paraId="404A5379" w14:textId="77777777" w:rsidR="00821DFB" w:rsidRDefault="00821DFB">
      <w:pPr>
        <w:pStyle w:val="Literaturverzeichnis"/>
      </w:pPr>
      <w:bookmarkStart w:id="47" w:name="ref-deloache1992picture"/>
      <w:bookmarkEnd w:id="46"/>
      <w:r w:rsidRPr="00821DFB">
        <w:lastRenderedPageBreak/>
        <w:t xml:space="preserve">DeLoache, J. S. (2011). Early development of the understanding and use of symbolic artifacts. In U. Goswami (Ed.), </w:t>
      </w:r>
      <w:r w:rsidRPr="00821DFB">
        <w:rPr>
          <w:i/>
          <w:iCs/>
        </w:rPr>
        <w:t>The Wiley-Blackwell handbook of childhood cognitive development</w:t>
      </w:r>
      <w:r w:rsidRPr="00821DFB">
        <w:t xml:space="preserve"> (2nd ed., pp. 312–336). Wiley-Blackwell. </w:t>
      </w:r>
      <w:hyperlink r:id="rId41" w:tgtFrame="_blank" w:history="1">
        <w:r w:rsidRPr="00821DFB">
          <w:rPr>
            <w:rStyle w:val="Hyperlink"/>
          </w:rPr>
          <w:t>https://doi.org/10.1002/978144382521.ch13</w:t>
        </w:r>
      </w:hyperlink>
    </w:p>
    <w:p w14:paraId="6A6E3E46" w14:textId="5D47B236" w:rsidR="00B8759D" w:rsidRPr="00DA5238" w:rsidRDefault="00000000" w:rsidP="00821DFB">
      <w:pPr>
        <w:pStyle w:val="Literaturverzeichnis"/>
      </w:pPr>
      <w:r w:rsidRPr="00DA5238">
        <w:t xml:space="preserve">DeLoache, J. S., &amp; Marzolf, D. (1992). </w:t>
      </w:r>
      <w:r>
        <w:t xml:space="preserve">When a picture is not worth a thousand words: Young children’s understanding of pictures and models. </w:t>
      </w:r>
      <w:r>
        <w:rPr>
          <w:i/>
          <w:iCs/>
        </w:rPr>
        <w:t>Cognitive Development</w:t>
      </w:r>
      <w:r>
        <w:t xml:space="preserve">, </w:t>
      </w:r>
      <w:r>
        <w:rPr>
          <w:i/>
          <w:iCs/>
        </w:rPr>
        <w:t>7</w:t>
      </w:r>
      <w:r>
        <w:t>(3), 317–329.</w:t>
      </w:r>
      <w:r w:rsidR="00821DFB">
        <w:t xml:space="preserve"> </w:t>
      </w:r>
      <w:hyperlink r:id="rId42" w:tgtFrame="_blank" w:history="1">
        <w:r w:rsidR="00821DFB" w:rsidRPr="00DA5238">
          <w:rPr>
            <w:rStyle w:val="Hyperlink"/>
          </w:rPr>
          <w:t>10.1016/0885-2014(92)90019-N</w:t>
        </w:r>
      </w:hyperlink>
    </w:p>
    <w:p w14:paraId="2257EB22" w14:textId="16D58CE3" w:rsidR="00B8759D" w:rsidRDefault="00000000">
      <w:pPr>
        <w:pStyle w:val="Literaturverzeichnis"/>
      </w:pPr>
      <w:bookmarkStart w:id="48" w:name="ref-diamond2013executive"/>
      <w:bookmarkEnd w:id="47"/>
      <w:r>
        <w:t xml:space="preserve">Diamond, A. (2013). Executive functions. </w:t>
      </w:r>
      <w:r>
        <w:rPr>
          <w:i/>
          <w:iCs/>
        </w:rPr>
        <w:t>Annual Review of Psychology</w:t>
      </w:r>
      <w:r>
        <w:t xml:space="preserve">, </w:t>
      </w:r>
      <w:r>
        <w:rPr>
          <w:i/>
          <w:iCs/>
        </w:rPr>
        <w:t>64</w:t>
      </w:r>
      <w:r>
        <w:t>(1), 135–168.</w:t>
      </w:r>
      <w:r w:rsidR="0040411A">
        <w:t xml:space="preserve"> </w:t>
      </w:r>
      <w:hyperlink r:id="rId43" w:history="1">
        <w:r w:rsidR="0040411A" w:rsidRPr="0040411A">
          <w:rPr>
            <w:rStyle w:val="Hyperlink"/>
          </w:rPr>
          <w:t>https://doi.org/10.1146/annurev-psych-113011-143750</w:t>
        </w:r>
      </w:hyperlink>
    </w:p>
    <w:p w14:paraId="21E439D1" w14:textId="0F0F7D63" w:rsidR="00B8759D" w:rsidRDefault="00000000">
      <w:pPr>
        <w:pStyle w:val="Literaturverzeichnis"/>
      </w:pPr>
      <w:bookmarkStart w:id="49" w:name="ref-diamond2016preschool"/>
      <w:bookmarkEnd w:id="48"/>
      <w:r>
        <w:t>Diamond, A., Carlson, S. M., &amp; Beck, D. M. (2016). Preschool children’s performance in task</w:t>
      </w:r>
      <w:r w:rsidR="0030105B">
        <w:t>-s</w:t>
      </w:r>
      <w:r>
        <w:t xml:space="preserve">witching on the dimensional change card sort task: Separating the dimensions aids the ability to switch. In </w:t>
      </w:r>
      <w:r>
        <w:rPr>
          <w:i/>
          <w:iCs/>
        </w:rPr>
        <w:t>Measurement of executive function in early childhood</w:t>
      </w:r>
      <w:r>
        <w:t xml:space="preserve"> (pp. 689–729). Psychology Press.</w:t>
      </w:r>
      <w:r w:rsidR="00510364">
        <w:t xml:space="preserve"> </w:t>
      </w:r>
      <w:hyperlink r:id="rId44" w:history="1">
        <w:r w:rsidR="00510364" w:rsidRPr="00510364">
          <w:rPr>
            <w:rStyle w:val="Hyperlink"/>
          </w:rPr>
          <w:t>https://doi.org/10.1207/s15326942dn2802_7</w:t>
        </w:r>
      </w:hyperlink>
    </w:p>
    <w:p w14:paraId="4B8ABED2" w14:textId="284714C3" w:rsidR="00B8759D" w:rsidRDefault="00000000">
      <w:pPr>
        <w:pStyle w:val="Literaturverzeichnis"/>
      </w:pPr>
      <w:bookmarkStart w:id="50" w:name="ref-donnelly2007visual"/>
      <w:bookmarkEnd w:id="49"/>
      <w:r>
        <w:t xml:space="preserve">Donnelly, N., Cave, K., Greenway, R., Hadwin, J. A., Stevenson, J., &amp; Sonuga-Barke, E. (2007). Visual search in children and adults: Top-down and bottom-up mechanisms. </w:t>
      </w:r>
      <w:r>
        <w:rPr>
          <w:i/>
          <w:iCs/>
        </w:rPr>
        <w:t>Quarterly Journal of Experimental Psychology</w:t>
      </w:r>
      <w:r>
        <w:t xml:space="preserve">, </w:t>
      </w:r>
      <w:r>
        <w:rPr>
          <w:i/>
          <w:iCs/>
        </w:rPr>
        <w:t>60</w:t>
      </w:r>
      <w:r>
        <w:t>(1), 120–136.</w:t>
      </w:r>
      <w:r w:rsidR="00F07F00" w:rsidRPr="00F07F00">
        <w:t xml:space="preserve"> </w:t>
      </w:r>
      <w:hyperlink r:id="rId45" w:history="1">
        <w:r w:rsidR="00F07F00" w:rsidRPr="00F07F00">
          <w:rPr>
            <w:rStyle w:val="Hyperlink"/>
          </w:rPr>
          <w:t>https://doi.org/10.1080/17470210600625362</w:t>
        </w:r>
      </w:hyperlink>
    </w:p>
    <w:p w14:paraId="24C76B76" w14:textId="548D5E78" w:rsidR="00B8759D" w:rsidRDefault="00000000">
      <w:pPr>
        <w:pStyle w:val="Literaturverzeichnis"/>
      </w:pPr>
      <w:bookmarkStart w:id="51" w:name="ref-fay2014iconicity"/>
      <w:bookmarkEnd w:id="50"/>
      <w:r>
        <w:t xml:space="preserve">Fay, N., Ellison, M., &amp; Garrod, S. (2014). Iconicity: From sign to system in human communication and language. </w:t>
      </w:r>
      <w:r>
        <w:rPr>
          <w:i/>
          <w:iCs/>
        </w:rPr>
        <w:t>Pragmatics &amp; Cognition</w:t>
      </w:r>
      <w:r>
        <w:t xml:space="preserve">, </w:t>
      </w:r>
      <w:r>
        <w:rPr>
          <w:i/>
          <w:iCs/>
        </w:rPr>
        <w:t>22</w:t>
      </w:r>
      <w:r>
        <w:t>(2), 244–263.</w:t>
      </w:r>
      <w:r w:rsidR="00F07F00">
        <w:t xml:space="preserve"> </w:t>
      </w:r>
      <w:hyperlink r:id="rId46" w:history="1">
        <w:r w:rsidR="00F07F00" w:rsidRPr="00F07F00">
          <w:rPr>
            <w:rStyle w:val="Hyperlink"/>
          </w:rPr>
          <w:t>https://doi.org/10.1075/pc.22.2.05fay</w:t>
        </w:r>
      </w:hyperlink>
    </w:p>
    <w:p w14:paraId="319B705E" w14:textId="77777777" w:rsidR="00FC534A" w:rsidRDefault="00FC534A">
      <w:pPr>
        <w:pStyle w:val="Literaturverzeichnis"/>
      </w:pPr>
      <w:bookmarkStart w:id="52" w:name="ref-ganea2008transfer"/>
      <w:bookmarkEnd w:id="51"/>
      <w:r w:rsidRPr="00FC534A">
        <w:lastRenderedPageBreak/>
        <w:t xml:space="preserve">Flavell, J. H., Everett, B. A., Croft, K., &amp; Flavell, E. R. (1981). Young children's knowledge about visual perception: Further evidence for the Level 1–Level 2 distinction. </w:t>
      </w:r>
      <w:r w:rsidRPr="00FC534A">
        <w:rPr>
          <w:i/>
          <w:iCs/>
        </w:rPr>
        <w:t>Developmental Psychology, 17</w:t>
      </w:r>
      <w:r w:rsidRPr="00FC534A">
        <w:t xml:space="preserve">(1), 99–103. </w:t>
      </w:r>
      <w:hyperlink r:id="rId47" w:tgtFrame="_blank" w:history="1">
        <w:r w:rsidRPr="00FC534A">
          <w:rPr>
            <w:rStyle w:val="Hyperlink"/>
          </w:rPr>
          <w:t>https://doi.org/10.1037/0012-1649.17.1.99</w:t>
        </w:r>
      </w:hyperlink>
    </w:p>
    <w:p w14:paraId="6AFED393" w14:textId="50DFB7CF" w:rsidR="00B8759D" w:rsidRDefault="00000000">
      <w:pPr>
        <w:pStyle w:val="Literaturverzeichnis"/>
      </w:pPr>
      <w:r>
        <w:t xml:space="preserve">Ganea, P. A., Pickard, M. B., &amp; DeLoache, J. S. (2008). Transfer between picture books and the real world by very young children. </w:t>
      </w:r>
      <w:r>
        <w:rPr>
          <w:i/>
          <w:iCs/>
        </w:rPr>
        <w:t>Journal of Cognition and Development</w:t>
      </w:r>
      <w:r>
        <w:t xml:space="preserve">, </w:t>
      </w:r>
      <w:r>
        <w:rPr>
          <w:i/>
          <w:iCs/>
        </w:rPr>
        <w:t>9</w:t>
      </w:r>
      <w:r>
        <w:t xml:space="preserve">(1), 46–66. </w:t>
      </w:r>
      <w:hyperlink r:id="rId48">
        <w:r w:rsidR="00B8759D">
          <w:rPr>
            <w:rStyle w:val="Hyperlink"/>
          </w:rPr>
          <w:t>https://doi.org/10.1080/15248370701836592</w:t>
        </w:r>
      </w:hyperlink>
    </w:p>
    <w:p w14:paraId="4D07908F" w14:textId="61CB37E8" w:rsidR="00B8759D" w:rsidRDefault="00000000">
      <w:pPr>
        <w:pStyle w:val="Literaturverzeichnis"/>
      </w:pPr>
      <w:bookmarkStart w:id="53" w:name="ref-gelman1998shape"/>
      <w:bookmarkEnd w:id="52"/>
      <w:r>
        <w:t xml:space="preserve">Gelman, S. A., &amp; Ebeling, K. S. (1998). Shape and representational status in children’s early naming. </w:t>
      </w:r>
      <w:r>
        <w:rPr>
          <w:i/>
          <w:iCs/>
        </w:rPr>
        <w:t>Cognition</w:t>
      </w:r>
      <w:r>
        <w:t xml:space="preserve">, </w:t>
      </w:r>
      <w:r>
        <w:rPr>
          <w:i/>
          <w:iCs/>
        </w:rPr>
        <w:t>66</w:t>
      </w:r>
      <w:r>
        <w:t>(2), B35–B47.</w:t>
      </w:r>
      <w:r w:rsidR="00FD5183">
        <w:t xml:space="preserve"> </w:t>
      </w:r>
      <w:hyperlink r:id="rId49" w:tgtFrame="_blank" w:history="1">
        <w:r w:rsidR="00FD5183" w:rsidRPr="00FD5183">
          <w:rPr>
            <w:rStyle w:val="Hyperlink"/>
          </w:rPr>
          <w:t>10.1016/S0010-0277(98)00022-5</w:t>
        </w:r>
      </w:hyperlink>
    </w:p>
    <w:p w14:paraId="55883D36" w14:textId="1B3F6AA7" w:rsidR="00FD5183" w:rsidRDefault="00FD5183">
      <w:pPr>
        <w:pStyle w:val="Literaturverzeichnis"/>
      </w:pPr>
      <w:bookmarkStart w:id="54" w:name="ref-gentner2017analogy"/>
      <w:bookmarkEnd w:id="53"/>
      <w:r w:rsidRPr="00FD5183">
        <w:t xml:space="preserve">Gentner, D. (1977). Children’s Performance on a Spatial Analogies Task. </w:t>
      </w:r>
      <w:r w:rsidRPr="00FD5183">
        <w:rPr>
          <w:i/>
          <w:iCs/>
        </w:rPr>
        <w:t>Child Development</w:t>
      </w:r>
      <w:r w:rsidRPr="00FD5183">
        <w:t xml:space="preserve">, </w:t>
      </w:r>
      <w:r w:rsidRPr="00FD5183">
        <w:rPr>
          <w:i/>
          <w:iCs/>
        </w:rPr>
        <w:t>48</w:t>
      </w:r>
      <w:r w:rsidRPr="00FD5183">
        <w:t xml:space="preserve">(3), 1034–1039. </w:t>
      </w:r>
      <w:hyperlink r:id="rId50" w:history="1">
        <w:r w:rsidRPr="0084668C">
          <w:rPr>
            <w:rStyle w:val="Hyperlink"/>
          </w:rPr>
          <w:t>https://doi.org/10.2307/1128356</w:t>
        </w:r>
      </w:hyperlink>
    </w:p>
    <w:p w14:paraId="17DAD1A8" w14:textId="27F159AE" w:rsidR="00FD5183" w:rsidRDefault="00FD5183">
      <w:pPr>
        <w:pStyle w:val="Literaturverzeichnis"/>
      </w:pPr>
      <w:bookmarkStart w:id="55" w:name="ref-gerhardstein2002development"/>
      <w:bookmarkEnd w:id="54"/>
      <w:r w:rsidRPr="00FD5183">
        <w:t>Gentner, D. and Hoyos, C. (2017), Analogy and Abstraction. Top</w:t>
      </w:r>
      <w:r w:rsidR="00DB2CEA">
        <w:t>ics in</w:t>
      </w:r>
      <w:r w:rsidRPr="00FD5183">
        <w:t xml:space="preserve"> Cogn</w:t>
      </w:r>
      <w:r w:rsidR="00DB2CEA">
        <w:t>itive</w:t>
      </w:r>
      <w:r w:rsidRPr="00FD5183">
        <w:t xml:space="preserve"> Sci</w:t>
      </w:r>
      <w:r w:rsidR="00DB2CEA">
        <w:t>ence</w:t>
      </w:r>
      <w:r w:rsidRPr="00FD5183">
        <w:t xml:space="preserve">, 9: 672-693. </w:t>
      </w:r>
      <w:hyperlink r:id="rId51" w:history="1">
        <w:r w:rsidRPr="00FD5183">
          <w:rPr>
            <w:rStyle w:val="Hyperlink"/>
          </w:rPr>
          <w:t>https://doi.org/10.1111/tops.12278</w:t>
        </w:r>
      </w:hyperlink>
    </w:p>
    <w:p w14:paraId="3780EF1A" w14:textId="27815FC0" w:rsidR="00B8759D" w:rsidRDefault="00000000">
      <w:pPr>
        <w:pStyle w:val="Literaturverzeichnis"/>
      </w:pPr>
      <w:r w:rsidRPr="00DA5238">
        <w:t xml:space="preserve">Gerhardstein, P., &amp; Rovee-Collier, C. (2002). </w:t>
      </w:r>
      <w:r>
        <w:t xml:space="preserve">The development of visual search in infants and very young children. </w:t>
      </w:r>
      <w:r>
        <w:rPr>
          <w:i/>
          <w:iCs/>
        </w:rPr>
        <w:t>Journal of Experimental Child Psychology</w:t>
      </w:r>
      <w:r>
        <w:t xml:space="preserve">, </w:t>
      </w:r>
      <w:r>
        <w:rPr>
          <w:i/>
          <w:iCs/>
        </w:rPr>
        <w:t>81</w:t>
      </w:r>
      <w:r>
        <w:t>(2), 194–215.</w:t>
      </w:r>
      <w:r w:rsidR="00FD5183">
        <w:t xml:space="preserve"> </w:t>
      </w:r>
      <w:hyperlink r:id="rId52" w:tgtFrame="_blank" w:history="1">
        <w:r w:rsidR="00FD5183" w:rsidRPr="00FD5183">
          <w:rPr>
            <w:rStyle w:val="Hyperlink"/>
          </w:rPr>
          <w:t>10.1006/jecp.2001.2649</w:t>
        </w:r>
      </w:hyperlink>
    </w:p>
    <w:p w14:paraId="68617DAD" w14:textId="7D9581D4" w:rsidR="00B8759D" w:rsidRDefault="00000000">
      <w:pPr>
        <w:pStyle w:val="Literaturverzeichnis"/>
      </w:pPr>
      <w:bookmarkStart w:id="56" w:name="ref-gick1980analogical"/>
      <w:bookmarkEnd w:id="55"/>
      <w:r>
        <w:t xml:space="preserve">Gick, M. L., &amp; Holyoak, K. J. (1980). Analogical problem solving. </w:t>
      </w:r>
      <w:r>
        <w:rPr>
          <w:i/>
          <w:iCs/>
        </w:rPr>
        <w:t>Cognitive Psychology</w:t>
      </w:r>
      <w:r>
        <w:t xml:space="preserve">, </w:t>
      </w:r>
      <w:r>
        <w:rPr>
          <w:i/>
          <w:iCs/>
        </w:rPr>
        <w:t>12</w:t>
      </w:r>
      <w:r>
        <w:t>(3), 306–355.</w:t>
      </w:r>
      <w:r w:rsidR="00FD5183">
        <w:t xml:space="preserve"> </w:t>
      </w:r>
      <w:hyperlink r:id="rId53" w:tgtFrame="_blank" w:history="1">
        <w:r w:rsidR="00FD5183" w:rsidRPr="00FD5183">
          <w:rPr>
            <w:rStyle w:val="Hyperlink"/>
          </w:rPr>
          <w:t>10.1016/0010-0285(80)90013-4</w:t>
        </w:r>
      </w:hyperlink>
    </w:p>
    <w:p w14:paraId="4D2B163E" w14:textId="75ECAF88" w:rsidR="001B4FE9" w:rsidRDefault="00000000">
      <w:pPr>
        <w:pStyle w:val="Literaturverzeichnis"/>
      </w:pPr>
      <w:bookmarkStart w:id="57" w:name="ref-goddu2020transformations"/>
      <w:bookmarkEnd w:id="56"/>
      <w:r w:rsidRPr="00DA5238">
        <w:t>Goddu, M. K., Lombrozo, T., &amp; Gopnik, A. (2020</w:t>
      </w:r>
      <w:bookmarkStart w:id="58" w:name="ref-gopnik1988children"/>
      <w:bookmarkEnd w:id="57"/>
      <w:r w:rsidR="001B4FE9" w:rsidRPr="00DA5238">
        <w:t xml:space="preserve">). </w:t>
      </w:r>
      <w:r w:rsidR="001B4FE9" w:rsidRPr="001B4FE9">
        <w:t>Transformations and Transfer: Preschool Children Understand Abstract Relations and Reason Analogically in a Causal Task</w:t>
      </w:r>
      <w:r w:rsidR="001B4FE9">
        <w:t>.</w:t>
      </w:r>
      <w:r w:rsidR="00BA1405">
        <w:t xml:space="preserve"> </w:t>
      </w:r>
      <w:r w:rsidR="001B4FE9" w:rsidRPr="001B4FE9">
        <w:rPr>
          <w:i/>
          <w:iCs/>
        </w:rPr>
        <w:t>Child Development</w:t>
      </w:r>
      <w:r w:rsidR="001B4FE9" w:rsidRPr="001B4FE9">
        <w:t>, 91</w:t>
      </w:r>
      <w:r w:rsidR="001B4FE9">
        <w:t>(</w:t>
      </w:r>
      <w:r w:rsidR="001B4FE9" w:rsidRPr="001B4FE9">
        <w:t>6</w:t>
      </w:r>
      <w:r w:rsidR="001B4FE9">
        <w:t>)</w:t>
      </w:r>
      <w:r w:rsidR="001B4FE9" w:rsidRPr="001B4FE9">
        <w:t xml:space="preserve">, 1898–1915, </w:t>
      </w:r>
      <w:hyperlink r:id="rId54" w:history="1">
        <w:r w:rsidR="001B4FE9" w:rsidRPr="001B4FE9">
          <w:rPr>
            <w:rStyle w:val="Hyperlink"/>
          </w:rPr>
          <w:t>https://doi.org/10.1111/cdev.13412</w:t>
        </w:r>
      </w:hyperlink>
    </w:p>
    <w:p w14:paraId="15FF24D1" w14:textId="6BE94CF3" w:rsidR="007206AF" w:rsidRPr="00DA5238" w:rsidRDefault="007206AF" w:rsidP="007206AF">
      <w:pPr>
        <w:pStyle w:val="Literaturverzeichnis"/>
      </w:pPr>
      <w:bookmarkStart w:id="59" w:name="ref-goswami1991analogical"/>
      <w:bookmarkEnd w:id="58"/>
      <w:r w:rsidRPr="007206AF">
        <w:lastRenderedPageBreak/>
        <w:t xml:space="preserve">Gopnik, A., &amp; Astington, J. W. (1988). Children’s Understanding of Representational Change and Its Relation to the Understanding of False Belief and the Appearance-Reality Distinction. </w:t>
      </w:r>
      <w:r w:rsidRPr="00DA5238">
        <w:rPr>
          <w:i/>
          <w:iCs/>
        </w:rPr>
        <w:t>Child Development</w:t>
      </w:r>
      <w:r w:rsidRPr="00DA5238">
        <w:t xml:space="preserve">, </w:t>
      </w:r>
      <w:r w:rsidRPr="00DA5238">
        <w:rPr>
          <w:i/>
          <w:iCs/>
        </w:rPr>
        <w:t>59</w:t>
      </w:r>
      <w:r w:rsidRPr="00DA5238">
        <w:t xml:space="preserve">(1), 26–37. </w:t>
      </w:r>
      <w:hyperlink r:id="rId55" w:history="1">
        <w:r w:rsidRPr="00DA5238">
          <w:rPr>
            <w:rStyle w:val="Hyperlink"/>
          </w:rPr>
          <w:t>https://doi.org/10.2307/1130386</w:t>
        </w:r>
      </w:hyperlink>
      <w:r w:rsidRPr="00DA5238">
        <w:t xml:space="preserve"> </w:t>
      </w:r>
    </w:p>
    <w:p w14:paraId="0D8EF76B" w14:textId="7F6D4AB7" w:rsidR="00B8759D" w:rsidRDefault="00000000">
      <w:pPr>
        <w:pStyle w:val="Literaturverzeichnis"/>
      </w:pPr>
      <w:r>
        <w:t xml:space="preserve">Goswami, U. (1991). Analogical reasoning: What develops? A review of research and theory. </w:t>
      </w:r>
      <w:r>
        <w:rPr>
          <w:i/>
          <w:iCs/>
        </w:rPr>
        <w:t>Child Development</w:t>
      </w:r>
      <w:r>
        <w:t xml:space="preserve">, </w:t>
      </w:r>
      <w:r>
        <w:rPr>
          <w:i/>
          <w:iCs/>
        </w:rPr>
        <w:t>62</w:t>
      </w:r>
      <w:r>
        <w:t>(1), 1–22.</w:t>
      </w:r>
      <w:r w:rsidR="007206AF">
        <w:t xml:space="preserve"> </w:t>
      </w:r>
      <w:hyperlink r:id="rId56" w:history="1">
        <w:r w:rsidR="007206AF" w:rsidRPr="007206AF">
          <w:rPr>
            <w:rStyle w:val="Hyperlink"/>
          </w:rPr>
          <w:t>https://doi.org/10.1111/j.1467-8624.1991.tb01511.x</w:t>
        </w:r>
      </w:hyperlink>
    </w:p>
    <w:p w14:paraId="1327A222" w14:textId="3A7426FE" w:rsidR="007206AF" w:rsidRPr="00DA5238" w:rsidRDefault="007206AF" w:rsidP="007206AF">
      <w:pPr>
        <w:pStyle w:val="Literaturverzeichnis"/>
      </w:pPr>
      <w:bookmarkStart w:id="60" w:name="ref-henrich2010weirdest"/>
      <w:bookmarkEnd w:id="59"/>
      <w:r w:rsidRPr="007206AF">
        <w:t xml:space="preserve">Halford, G. S., Wilson, W. H., &amp; Phillips, S. (1998). Processing capacity defined by relational complexity: Implications for comparative, developmental, and cognitive psychology. </w:t>
      </w:r>
      <w:r w:rsidRPr="007206AF">
        <w:rPr>
          <w:i/>
          <w:iCs/>
        </w:rPr>
        <w:t>Behavioral and Brain Sciences</w:t>
      </w:r>
      <w:r w:rsidRPr="007206AF">
        <w:t xml:space="preserve">, </w:t>
      </w:r>
      <w:r w:rsidRPr="007206AF">
        <w:rPr>
          <w:i/>
          <w:iCs/>
        </w:rPr>
        <w:t>21</w:t>
      </w:r>
      <w:r w:rsidRPr="007206AF">
        <w:t xml:space="preserve">(6), 803–831. </w:t>
      </w:r>
      <w:hyperlink r:id="rId57" w:history="1">
        <w:r w:rsidRPr="00DA5238">
          <w:rPr>
            <w:rStyle w:val="Hyperlink"/>
          </w:rPr>
          <w:t>https://doi:10.1017/S0140525X98001769</w:t>
        </w:r>
      </w:hyperlink>
      <w:r w:rsidRPr="00DA5238">
        <w:t xml:space="preserve">   </w:t>
      </w:r>
    </w:p>
    <w:p w14:paraId="58F7B228" w14:textId="230508B5" w:rsidR="007206AF" w:rsidRDefault="007206AF">
      <w:pPr>
        <w:pStyle w:val="Literaturverzeichnis"/>
      </w:pPr>
      <w:bookmarkStart w:id="61" w:name="ref-House2013ontogeny"/>
      <w:bookmarkEnd w:id="60"/>
      <w:r w:rsidRPr="00DA5238">
        <w:t xml:space="preserve">Henrich, J., Heine, S. J., &amp; Norenzayan, A. (2010). </w:t>
      </w:r>
      <w:r w:rsidRPr="007206AF">
        <w:t xml:space="preserve">The weirdest people in the world?. </w:t>
      </w:r>
      <w:r w:rsidRPr="007206AF">
        <w:rPr>
          <w:i/>
          <w:iCs/>
        </w:rPr>
        <w:t>The Behavioral and brain sciences</w:t>
      </w:r>
      <w:r w:rsidRPr="007206AF">
        <w:t xml:space="preserve">, </w:t>
      </w:r>
      <w:r w:rsidRPr="007206AF">
        <w:rPr>
          <w:i/>
          <w:iCs/>
        </w:rPr>
        <w:t>33</w:t>
      </w:r>
      <w:r w:rsidRPr="007206AF">
        <w:t xml:space="preserve">(2-3), 61–135. </w:t>
      </w:r>
      <w:hyperlink r:id="rId58" w:history="1">
        <w:r w:rsidRPr="0084668C">
          <w:rPr>
            <w:rStyle w:val="Hyperlink"/>
          </w:rPr>
          <w:t>https://doi.org/10.1017/S0140525X0999152X</w:t>
        </w:r>
      </w:hyperlink>
    </w:p>
    <w:p w14:paraId="0DB74133" w14:textId="030AA33E" w:rsidR="00B8759D" w:rsidRDefault="00000000">
      <w:pPr>
        <w:pStyle w:val="Literaturverzeichnis"/>
      </w:pPr>
      <w:r>
        <w:t xml:space="preserve">House, B. R., Silk, J. B., Henrich, J., Barrett, H. C., Scelza, B. A., Boyette, A. H., &amp; Laurence, S. (2013). Ontogeny of prosocial behavior across diverse societies. </w:t>
      </w:r>
      <w:r>
        <w:rPr>
          <w:i/>
          <w:iCs/>
        </w:rPr>
        <w:t>Proceedings of the National Academy of Sciences</w:t>
      </w:r>
      <w:r>
        <w:t xml:space="preserve">, </w:t>
      </w:r>
      <w:r>
        <w:rPr>
          <w:i/>
          <w:iCs/>
        </w:rPr>
        <w:t>110</w:t>
      </w:r>
      <w:r>
        <w:t>(36), 14586–14591.</w:t>
      </w:r>
      <w:r w:rsidR="007206AF">
        <w:t xml:space="preserve"> </w:t>
      </w:r>
      <w:hyperlink r:id="rId59" w:history="1">
        <w:r w:rsidR="007206AF" w:rsidRPr="007206AF">
          <w:rPr>
            <w:rStyle w:val="Hyperlink"/>
          </w:rPr>
          <w:t>https://doi.org/10.1073/pnas.1221217110</w:t>
        </w:r>
      </w:hyperlink>
    </w:p>
    <w:p w14:paraId="718B0CD4" w14:textId="65F29335" w:rsidR="007206AF" w:rsidRDefault="007206AF">
      <w:pPr>
        <w:pStyle w:val="Literaturverzeichnis"/>
      </w:pPr>
      <w:bookmarkStart w:id="62" w:name="ref-karmiloff1994beyond"/>
      <w:bookmarkEnd w:id="61"/>
      <w:r w:rsidRPr="007206AF">
        <w:t xml:space="preserve">Jablonski, S. (2014). Inhibitory control and literacy development among 3- to 5-year-old children. </w:t>
      </w:r>
      <w:r w:rsidRPr="007206AF">
        <w:rPr>
          <w:i/>
          <w:iCs/>
        </w:rPr>
        <w:t>L1-Educational Studies in Language and Literature</w:t>
      </w:r>
      <w:r w:rsidRPr="007206AF">
        <w:t xml:space="preserve">, </w:t>
      </w:r>
      <w:r w:rsidRPr="007206AF">
        <w:rPr>
          <w:i/>
          <w:iCs/>
        </w:rPr>
        <w:t>14</w:t>
      </w:r>
      <w:r w:rsidRPr="007206AF">
        <w:t xml:space="preserve">(2), 1–25. </w:t>
      </w:r>
      <w:hyperlink r:id="rId60" w:history="1">
        <w:r w:rsidRPr="0084668C">
          <w:rPr>
            <w:rStyle w:val="Hyperlink"/>
          </w:rPr>
          <w:t>https://doi.org/10.17239/L1ESLL-2013.01.10</w:t>
        </w:r>
      </w:hyperlink>
    </w:p>
    <w:p w14:paraId="59FE3B30" w14:textId="6B522B07" w:rsidR="007206AF" w:rsidRPr="007206AF" w:rsidRDefault="007206AF" w:rsidP="007206AF">
      <w:pPr>
        <w:pStyle w:val="Literaturverzeichnis"/>
      </w:pPr>
      <w:bookmarkStart w:id="63" w:name="ref-kroupin2022importance"/>
      <w:bookmarkEnd w:id="62"/>
      <w:r w:rsidRPr="007206AF">
        <w:t xml:space="preserve">Karmiloff-Smith, B. A. (1994). Beyond Modularity: A Developmental Perspective on Cognitive Science. </w:t>
      </w:r>
      <w:r w:rsidRPr="007206AF">
        <w:rPr>
          <w:i/>
          <w:iCs/>
        </w:rPr>
        <w:t>European Journal of Disorders of Communication</w:t>
      </w:r>
      <w:r w:rsidRPr="007206AF">
        <w:t xml:space="preserve">, </w:t>
      </w:r>
      <w:r w:rsidRPr="007206AF">
        <w:rPr>
          <w:i/>
          <w:iCs/>
        </w:rPr>
        <w:t>29</w:t>
      </w:r>
      <w:r w:rsidRPr="007206AF">
        <w:t xml:space="preserve">(1), 95–105. </w:t>
      </w:r>
      <w:hyperlink r:id="rId61" w:history="1">
        <w:r w:rsidRPr="007206AF">
          <w:rPr>
            <w:rStyle w:val="Hyperlink"/>
          </w:rPr>
          <w:t>https://doi.org/10.3109/13682829409041485</w:t>
        </w:r>
      </w:hyperlink>
      <w:r w:rsidRPr="007206AF">
        <w:t xml:space="preserve"> </w:t>
      </w:r>
    </w:p>
    <w:p w14:paraId="0B2D3966" w14:textId="1A591D54" w:rsidR="007206AF" w:rsidRDefault="007206AF">
      <w:pPr>
        <w:pStyle w:val="Literaturverzeichnis"/>
      </w:pPr>
      <w:bookmarkStart w:id="64" w:name="ref-kroupin2022you"/>
      <w:bookmarkEnd w:id="63"/>
      <w:r w:rsidRPr="007206AF">
        <w:lastRenderedPageBreak/>
        <w:t>Kroupin, I. G., &amp; Carey, S. E. (2022</w:t>
      </w:r>
      <w:r>
        <w:t>a</w:t>
      </w:r>
      <w:r w:rsidRPr="007206AF">
        <w:t xml:space="preserve">). The importance of inference in relational reasoning: Relational matching as a case study. </w:t>
      </w:r>
      <w:r w:rsidRPr="007206AF">
        <w:rPr>
          <w:i/>
          <w:iCs/>
        </w:rPr>
        <w:t>Journal of Experimental Psychology: General, 151</w:t>
      </w:r>
      <w:r w:rsidRPr="007206AF">
        <w:t xml:space="preserve">(1), 224–245. </w:t>
      </w:r>
      <w:hyperlink r:id="rId62" w:tgtFrame="_blank" w:history="1">
        <w:r w:rsidRPr="007206AF">
          <w:rPr>
            <w:rStyle w:val="Hyperlink"/>
          </w:rPr>
          <w:t>https://doi.org/10.1037/xge0001068</w:t>
        </w:r>
      </w:hyperlink>
    </w:p>
    <w:p w14:paraId="49E71317" w14:textId="7ECA4D70" w:rsidR="00B8759D" w:rsidRDefault="00000000">
      <w:pPr>
        <w:pStyle w:val="Literaturverzeichnis"/>
      </w:pPr>
      <w:r>
        <w:t xml:space="preserve">Kroupin, I. G., &amp; Carey, S. E. (2022b). You cannot find what you are not looking for: Population differences in relational reasoning are sometimes differences in inductive biases alone. </w:t>
      </w:r>
      <w:r>
        <w:rPr>
          <w:i/>
          <w:iCs/>
        </w:rPr>
        <w:t>Cognition</w:t>
      </w:r>
      <w:r>
        <w:t xml:space="preserve">, </w:t>
      </w:r>
      <w:r>
        <w:rPr>
          <w:i/>
          <w:iCs/>
        </w:rPr>
        <w:t>222</w:t>
      </w:r>
      <w:r>
        <w:t>, 105007.</w:t>
      </w:r>
      <w:r w:rsidR="007206AF">
        <w:t xml:space="preserve"> </w:t>
      </w:r>
      <w:hyperlink r:id="rId63" w:tgtFrame="_blank" w:history="1">
        <w:r w:rsidR="007206AF" w:rsidRPr="007206AF">
          <w:rPr>
            <w:rStyle w:val="Hyperlink"/>
          </w:rPr>
          <w:t>10.1016/j.cognition.2021.105007</w:t>
        </w:r>
      </w:hyperlink>
    </w:p>
    <w:p w14:paraId="40D4312C" w14:textId="77777777" w:rsidR="00B8759D" w:rsidRDefault="00000000">
      <w:pPr>
        <w:pStyle w:val="Literaturverzeichnis"/>
      </w:pPr>
      <w:bookmarkStart w:id="65" w:name="ref-Leekam2010adults"/>
      <w:bookmarkEnd w:id="64"/>
      <w:r w:rsidRPr="001A700D">
        <w:t xml:space="preserve">Leekam, S. R., Solomon, T. L., &amp; Teoh, Y. S. (2010). </w:t>
      </w:r>
      <w:r>
        <w:t xml:space="preserve">Adults’ social cues facilitate young children’s use of signs and symbols. </w:t>
      </w:r>
      <w:r>
        <w:rPr>
          <w:i/>
          <w:iCs/>
        </w:rPr>
        <w:t>Developmental Science</w:t>
      </w:r>
      <w:r>
        <w:t xml:space="preserve">, </w:t>
      </w:r>
      <w:r>
        <w:rPr>
          <w:i/>
          <w:iCs/>
        </w:rPr>
        <w:t>13</w:t>
      </w:r>
      <w:r>
        <w:t xml:space="preserve">(1), 108–119. </w:t>
      </w:r>
      <w:hyperlink r:id="rId64">
        <w:r w:rsidR="00B8759D">
          <w:rPr>
            <w:rStyle w:val="Hyperlink"/>
          </w:rPr>
          <w:t>https://doi.org/10.1111/j.1467-7687.2009.00862.x</w:t>
        </w:r>
      </w:hyperlink>
    </w:p>
    <w:p w14:paraId="7709DA59" w14:textId="3731A03A" w:rsidR="00777F76" w:rsidRPr="00777F76" w:rsidRDefault="00777F76" w:rsidP="00777F76">
      <w:pPr>
        <w:pStyle w:val="Literaturverzeichnis"/>
      </w:pPr>
      <w:bookmarkStart w:id="66" w:name="ref-long2019real"/>
      <w:bookmarkEnd w:id="65"/>
      <w:r w:rsidRPr="00DA5238">
        <w:t xml:space="preserve">Leibovich, T., Katzin, N., Harel, M., &amp; Henik, A. (2017). </w:t>
      </w:r>
      <w:r w:rsidRPr="00777F76">
        <w:t xml:space="preserve">From “sense of number” to “sense of magnitude”: The role of continuous magnitudes in numerical cognition. </w:t>
      </w:r>
      <w:r w:rsidRPr="00777F76">
        <w:rPr>
          <w:i/>
          <w:iCs/>
        </w:rPr>
        <w:t>Behavioral and Brain Sciences</w:t>
      </w:r>
      <w:r w:rsidRPr="00777F76">
        <w:t xml:space="preserve">, </w:t>
      </w:r>
      <w:r w:rsidRPr="00777F76">
        <w:rPr>
          <w:i/>
          <w:iCs/>
        </w:rPr>
        <w:t>40</w:t>
      </w:r>
      <w:r w:rsidRPr="00777F76">
        <w:t xml:space="preserve">, e164. </w:t>
      </w:r>
      <w:hyperlink r:id="rId65" w:history="1">
        <w:r w:rsidRPr="0084668C">
          <w:rPr>
            <w:rStyle w:val="Hyperlink"/>
          </w:rPr>
          <w:t>https://doi:10.1017/S0140525X16000960</w:t>
        </w:r>
      </w:hyperlink>
      <w:r>
        <w:t xml:space="preserve"> </w:t>
      </w:r>
    </w:p>
    <w:p w14:paraId="14623ACF" w14:textId="77777777" w:rsidR="007564F0" w:rsidRDefault="007564F0">
      <w:pPr>
        <w:pStyle w:val="Literaturverzeichnis"/>
      </w:pPr>
      <w:bookmarkStart w:id="67" w:name="ref-mcelreath2018statistical"/>
      <w:bookmarkEnd w:id="66"/>
      <w:r w:rsidRPr="007564F0">
        <w:t xml:space="preserve">Long, B., Moher, M., Carey, S., &amp; Konkle, T. (2019). Real-world size is automatically encoded in preschoolers’ object representations. </w:t>
      </w:r>
      <w:r w:rsidRPr="007564F0">
        <w:rPr>
          <w:i/>
          <w:iCs/>
        </w:rPr>
        <w:t>Journal of Experimental Psychology: Human Perception and Performance, 45</w:t>
      </w:r>
      <w:r w:rsidRPr="007564F0">
        <w:t xml:space="preserve">(7), 863–876. </w:t>
      </w:r>
      <w:hyperlink r:id="rId66" w:tgtFrame="_blank" w:history="1">
        <w:r w:rsidRPr="007564F0">
          <w:rPr>
            <w:rStyle w:val="Hyperlink"/>
          </w:rPr>
          <w:t>https://doi.org/10.1037/xhp0000619</w:t>
        </w:r>
      </w:hyperlink>
    </w:p>
    <w:p w14:paraId="137AD61B" w14:textId="175EA1F0" w:rsidR="00B8759D" w:rsidRDefault="00000000">
      <w:pPr>
        <w:pStyle w:val="Literaturverzeichnis"/>
      </w:pPr>
      <w:r>
        <w:t xml:space="preserve">McElreath, R. (2018). </w:t>
      </w:r>
      <w:r>
        <w:rPr>
          <w:i/>
          <w:iCs/>
        </w:rPr>
        <w:t xml:space="preserve">Statistical rethinking: A </w:t>
      </w:r>
      <w:r w:rsidR="003F6407">
        <w:rPr>
          <w:i/>
          <w:iCs/>
        </w:rPr>
        <w:t>B</w:t>
      </w:r>
      <w:r>
        <w:rPr>
          <w:i/>
          <w:iCs/>
        </w:rPr>
        <w:t xml:space="preserve">ayesian </w:t>
      </w:r>
      <w:r w:rsidR="007564F0">
        <w:rPr>
          <w:i/>
          <w:iCs/>
        </w:rPr>
        <w:t>C</w:t>
      </w:r>
      <w:r>
        <w:rPr>
          <w:i/>
          <w:iCs/>
        </w:rPr>
        <w:t xml:space="preserve">ourse with </w:t>
      </w:r>
      <w:r w:rsidR="007564F0">
        <w:rPr>
          <w:i/>
          <w:iCs/>
        </w:rPr>
        <w:t>E</w:t>
      </w:r>
      <w:r>
        <w:rPr>
          <w:i/>
          <w:iCs/>
        </w:rPr>
        <w:t xml:space="preserve">xamples in </w:t>
      </w:r>
      <w:r w:rsidR="007564F0">
        <w:rPr>
          <w:i/>
          <w:iCs/>
        </w:rPr>
        <w:t>R</w:t>
      </w:r>
      <w:r>
        <w:rPr>
          <w:i/>
          <w:iCs/>
        </w:rPr>
        <w:t xml:space="preserve"> and </w:t>
      </w:r>
      <w:r w:rsidR="007564F0">
        <w:rPr>
          <w:i/>
          <w:iCs/>
        </w:rPr>
        <w:t>S</w:t>
      </w:r>
      <w:r>
        <w:rPr>
          <w:i/>
          <w:iCs/>
        </w:rPr>
        <w:t>tan</w:t>
      </w:r>
      <w:r>
        <w:t>. Chapman; Hall/CRC.</w:t>
      </w:r>
    </w:p>
    <w:p w14:paraId="6A7481A1" w14:textId="77777777" w:rsidR="00B8759D" w:rsidRDefault="00000000">
      <w:pPr>
        <w:pStyle w:val="Literaturverzeichnis"/>
      </w:pPr>
      <w:bookmarkStart w:id="68" w:name="ref-mix2002quantitative"/>
      <w:bookmarkEnd w:id="67"/>
      <w:r>
        <w:t xml:space="preserve">Mix, K. S., Huttenlocher, J., &amp; Levine, S. C. (2002). </w:t>
      </w:r>
      <w:r>
        <w:rPr>
          <w:i/>
          <w:iCs/>
        </w:rPr>
        <w:t>Quantitative development in infancy and early childhood</w:t>
      </w:r>
      <w:r>
        <w:t>. Oxford University Press.</w:t>
      </w:r>
    </w:p>
    <w:p w14:paraId="129DE3B2" w14:textId="239E5180" w:rsidR="00B8759D" w:rsidRPr="00DA5238" w:rsidRDefault="00000000">
      <w:pPr>
        <w:pStyle w:val="Literaturverzeichnis"/>
      </w:pPr>
      <w:bookmarkStart w:id="69" w:name="ref-moore2013three"/>
      <w:bookmarkEnd w:id="68"/>
      <w:r>
        <w:lastRenderedPageBreak/>
        <w:t xml:space="preserve">Moore, R., Liebal, K., &amp; Tomasello, M. (2013). Three-year-olds understand communicative intentions without language, gestures, or gaze. </w:t>
      </w:r>
      <w:r w:rsidRPr="00DA5238">
        <w:rPr>
          <w:i/>
          <w:iCs/>
        </w:rPr>
        <w:t>Interaction Studies</w:t>
      </w:r>
      <w:r w:rsidRPr="00DA5238">
        <w:t xml:space="preserve">, </w:t>
      </w:r>
      <w:r w:rsidRPr="00DA5238">
        <w:rPr>
          <w:i/>
          <w:iCs/>
        </w:rPr>
        <w:t>14</w:t>
      </w:r>
      <w:r w:rsidRPr="00DA5238">
        <w:t>(1), 62–80.</w:t>
      </w:r>
      <w:r w:rsidR="00480173" w:rsidRPr="00DA5238">
        <w:t xml:space="preserve"> </w:t>
      </w:r>
      <w:hyperlink r:id="rId67" w:history="1">
        <w:r w:rsidR="00480173" w:rsidRPr="00DA5238">
          <w:rPr>
            <w:rStyle w:val="Hyperlink"/>
          </w:rPr>
          <w:t>https://doi.org/10.1075/is.14.1.05moo</w:t>
        </w:r>
      </w:hyperlink>
    </w:p>
    <w:p w14:paraId="7BE56C3D" w14:textId="77777777" w:rsidR="00480173" w:rsidRDefault="00480173">
      <w:pPr>
        <w:pStyle w:val="Literaturverzeichnis"/>
        <w:rPr>
          <w:lang w:val="fr-FR"/>
        </w:rPr>
      </w:pPr>
      <w:bookmarkStart w:id="70" w:name="ref-olson1994world"/>
      <w:bookmarkEnd w:id="69"/>
      <w:r w:rsidRPr="00DA5238">
        <w:t xml:space="preserve">Nölle, J., Fusaroli, R., Mills, G. J., &amp; Tylén, K. (2020). </w:t>
      </w:r>
      <w:r w:rsidRPr="00480173">
        <w:t xml:space="preserve">Language as shaped by the environment: Linguistic construal in a collaborative spatial task. </w:t>
      </w:r>
      <w:r w:rsidRPr="00480173">
        <w:rPr>
          <w:i/>
          <w:iCs/>
          <w:lang w:val="fr-FR"/>
        </w:rPr>
        <w:t>Palgrave Communications</w:t>
      </w:r>
      <w:r w:rsidRPr="00480173">
        <w:rPr>
          <w:lang w:val="fr-FR"/>
        </w:rPr>
        <w:t xml:space="preserve">, </w:t>
      </w:r>
      <w:r w:rsidRPr="00480173">
        <w:rPr>
          <w:i/>
          <w:iCs/>
          <w:lang w:val="fr-FR"/>
        </w:rPr>
        <w:t>6</w:t>
      </w:r>
      <w:r w:rsidRPr="00480173">
        <w:rPr>
          <w:lang w:val="fr-FR"/>
        </w:rPr>
        <w:t xml:space="preserve">(1), Article 27. </w:t>
      </w:r>
      <w:hyperlink r:id="rId68" w:tgtFrame="_blank" w:history="1">
        <w:r w:rsidRPr="00480173">
          <w:rPr>
            <w:rStyle w:val="Hyperlink"/>
            <w:lang w:val="fr-FR"/>
          </w:rPr>
          <w:t>https://doi.org/10.1057/s41599-020-0404-9</w:t>
        </w:r>
      </w:hyperlink>
    </w:p>
    <w:p w14:paraId="5AC9E1C9" w14:textId="5CDF41A0" w:rsidR="00B8759D" w:rsidRDefault="00000000">
      <w:pPr>
        <w:pStyle w:val="Literaturverzeichnis"/>
      </w:pPr>
      <w:r w:rsidRPr="00480173">
        <w:rPr>
          <w:lang w:val="fr-FR"/>
        </w:rPr>
        <w:t xml:space="preserve">Olson, D. R. (1994). </w:t>
      </w:r>
      <w:r>
        <w:rPr>
          <w:i/>
          <w:iCs/>
        </w:rPr>
        <w:t>The world on paper: The conceptual and cognitive implications of writing and reading</w:t>
      </w:r>
      <w:r>
        <w:t>. Cambridge University Press.</w:t>
      </w:r>
    </w:p>
    <w:p w14:paraId="0DE7C1B3" w14:textId="43086E3E" w:rsidR="00B8759D" w:rsidRPr="00DA5238" w:rsidRDefault="00000000">
      <w:pPr>
        <w:pStyle w:val="Literaturverzeichnis"/>
      </w:pPr>
      <w:bookmarkStart w:id="71" w:name="ref-rakoczy2022foundations"/>
      <w:bookmarkEnd w:id="70"/>
      <w:r>
        <w:t xml:space="preserve">Rakoczy, H. (2022). Foundations of theory of mind and its development in early childhood. </w:t>
      </w:r>
      <w:r>
        <w:rPr>
          <w:i/>
          <w:iCs/>
        </w:rPr>
        <w:t>Nature Reviews Psychology</w:t>
      </w:r>
      <w:r>
        <w:t xml:space="preserve">, </w:t>
      </w:r>
      <w:r>
        <w:rPr>
          <w:i/>
          <w:iCs/>
        </w:rPr>
        <w:t>1</w:t>
      </w:r>
      <w:r>
        <w:t>(4), 223–235.</w:t>
      </w:r>
      <w:r w:rsidR="00480173">
        <w:t xml:space="preserve"> </w:t>
      </w:r>
      <w:hyperlink r:id="rId69" w:history="1">
        <w:r w:rsidR="00480173" w:rsidRPr="00DA5238">
          <w:rPr>
            <w:rStyle w:val="Hyperlink"/>
          </w:rPr>
          <w:t>https://doi.org/10.1038/s44159-022-00037-z</w:t>
        </w:r>
      </w:hyperlink>
      <w:r w:rsidR="00480173" w:rsidRPr="00DA5238">
        <w:t xml:space="preserve"> </w:t>
      </w:r>
    </w:p>
    <w:p w14:paraId="0EFEB62A" w14:textId="393EA58A" w:rsidR="00B8759D" w:rsidRDefault="00000000">
      <w:pPr>
        <w:pStyle w:val="Literaturverzeichnis"/>
      </w:pPr>
      <w:bookmarkStart w:id="72" w:name="ref-rattermann1998more"/>
      <w:bookmarkEnd w:id="71"/>
      <w:r w:rsidRPr="00DA5238">
        <w:t xml:space="preserve">Rattermann, M. J., &amp; Gentner, D. (1998). </w:t>
      </w:r>
      <w:r>
        <w:t xml:space="preserve">More evidence for a relational shift in the development of analogy: Children’s performance on a causal-mapping task. </w:t>
      </w:r>
      <w:r>
        <w:rPr>
          <w:i/>
          <w:iCs/>
        </w:rPr>
        <w:t>Cognitive Development</w:t>
      </w:r>
      <w:r w:rsidR="00480173">
        <w:t xml:space="preserve">. </w:t>
      </w:r>
      <w:hyperlink r:id="rId70" w:history="1">
        <w:r w:rsidR="00480173" w:rsidRPr="0084668C">
          <w:rPr>
            <w:rStyle w:val="Hyperlink"/>
          </w:rPr>
          <w:t>https://doi.org/10.1016/S0885-2014(98)90003-X</w:t>
        </w:r>
      </w:hyperlink>
      <w:r w:rsidR="00480173">
        <w:t xml:space="preserve"> </w:t>
      </w:r>
    </w:p>
    <w:p w14:paraId="5C9F1D55" w14:textId="1255CBD0" w:rsidR="00B8759D" w:rsidRDefault="00000000">
      <w:pPr>
        <w:pStyle w:val="Literaturverzeichnis"/>
      </w:pPr>
      <w:bookmarkStart w:id="73" w:name="ref-raviv2018systematicity"/>
      <w:bookmarkEnd w:id="72"/>
      <w:r>
        <w:t xml:space="preserve">Raviv, L., &amp; Arnon, I. (2018). Systematicity, but not compositionality: Examining the emergence of linguistic structure in children and adults using iterated learning. </w:t>
      </w:r>
      <w:r>
        <w:rPr>
          <w:i/>
          <w:iCs/>
        </w:rPr>
        <w:t>Cognition</w:t>
      </w:r>
      <w:r>
        <w:t xml:space="preserve">, </w:t>
      </w:r>
      <w:r>
        <w:rPr>
          <w:i/>
          <w:iCs/>
        </w:rPr>
        <w:t>181</w:t>
      </w:r>
      <w:r>
        <w:t>, 160–173.</w:t>
      </w:r>
      <w:r w:rsidR="005A49F5" w:rsidRPr="005A49F5">
        <w:t xml:space="preserve"> </w:t>
      </w:r>
      <w:hyperlink r:id="rId71" w:history="1">
        <w:r w:rsidR="005A49F5" w:rsidRPr="0084668C">
          <w:rPr>
            <w:rStyle w:val="Hyperlink"/>
          </w:rPr>
          <w:t>https://doi.org/10.1016/j.cognition.2018.08.011</w:t>
        </w:r>
      </w:hyperlink>
      <w:r w:rsidR="005A49F5">
        <w:t xml:space="preserve"> </w:t>
      </w:r>
    </w:p>
    <w:p w14:paraId="264A6D30" w14:textId="77777777" w:rsidR="00834721" w:rsidRPr="00834721" w:rsidRDefault="00834721" w:rsidP="00834721">
      <w:pPr>
        <w:pStyle w:val="Literaturverzeichnis"/>
      </w:pPr>
      <w:bookmarkStart w:id="74" w:name="ref-richland2006children"/>
      <w:bookmarkEnd w:id="73"/>
      <w:r w:rsidRPr="00834721">
        <w:t xml:space="preserve">Reilly, S. E., Downer, J. T., &amp; Grimm, K. J. (2022). </w:t>
      </w:r>
      <w:r w:rsidRPr="00834721">
        <w:rPr>
          <w:i/>
          <w:iCs/>
        </w:rPr>
        <w:t>Developmental trajectories of executive functions from preschool to kindergarten</w:t>
      </w:r>
      <w:r w:rsidRPr="00834721">
        <w:t xml:space="preserve">. </w:t>
      </w:r>
      <w:r w:rsidRPr="00834721">
        <w:rPr>
          <w:i/>
          <w:iCs/>
        </w:rPr>
        <w:t>Developmental Science</w:t>
      </w:r>
      <w:r w:rsidRPr="00834721">
        <w:t xml:space="preserve">, 25, e13236. </w:t>
      </w:r>
      <w:hyperlink r:id="rId72" w:history="1">
        <w:r w:rsidRPr="00834721">
          <w:rPr>
            <w:rStyle w:val="Hyperlink"/>
          </w:rPr>
          <w:t>https://doi.org/10.1111/desc.13236</w:t>
        </w:r>
      </w:hyperlink>
      <w:r w:rsidRPr="00834721">
        <w:t xml:space="preserve"> </w:t>
      </w:r>
    </w:p>
    <w:p w14:paraId="1570379D" w14:textId="604C4238" w:rsidR="00B8759D" w:rsidRDefault="00000000">
      <w:pPr>
        <w:pStyle w:val="Literaturverzeichnis"/>
      </w:pPr>
      <w:r>
        <w:lastRenderedPageBreak/>
        <w:t xml:space="preserve">Richland, L. E., Morrison, R. G., &amp; Holyoak, K. J. (2006). Children’s development of analogical reasoning: Insights from scene analogy problems. </w:t>
      </w:r>
      <w:r>
        <w:rPr>
          <w:i/>
          <w:iCs/>
        </w:rPr>
        <w:t>Journal of Experimental Child Psychology</w:t>
      </w:r>
      <w:r>
        <w:t xml:space="preserve">, </w:t>
      </w:r>
      <w:r>
        <w:rPr>
          <w:i/>
          <w:iCs/>
        </w:rPr>
        <w:t>94</w:t>
      </w:r>
      <w:r>
        <w:t>(3), 249–273.</w:t>
      </w:r>
      <w:r w:rsidR="00834721">
        <w:t xml:space="preserve"> </w:t>
      </w:r>
      <w:hyperlink r:id="rId73" w:history="1">
        <w:r w:rsidR="00834721" w:rsidRPr="0084668C">
          <w:rPr>
            <w:rStyle w:val="Hyperlink"/>
          </w:rPr>
          <w:t>https://doi.org/10.1016/j.jecp.2006.02.002</w:t>
        </w:r>
      </w:hyperlink>
      <w:r w:rsidR="00834721">
        <w:t xml:space="preserve"> </w:t>
      </w:r>
    </w:p>
    <w:p w14:paraId="0D122CE6" w14:textId="3FDF5873" w:rsidR="00B8759D" w:rsidRDefault="00000000">
      <w:pPr>
        <w:pStyle w:val="Literaturverzeichnis"/>
      </w:pPr>
      <w:bookmarkStart w:id="75" w:name="ref-shepp1987development"/>
      <w:bookmarkEnd w:id="74"/>
      <w:r>
        <w:t xml:space="preserve">Shepp, B. E., Barrett, S. E., &amp; Kolbet, L. L. (1987). The development of selective attention: Holistic perception versus resource allocation. </w:t>
      </w:r>
      <w:r>
        <w:rPr>
          <w:i/>
          <w:iCs/>
        </w:rPr>
        <w:t>Journal of Experimental Child Psychology</w:t>
      </w:r>
      <w:r>
        <w:t xml:space="preserve">, </w:t>
      </w:r>
      <w:r>
        <w:rPr>
          <w:i/>
          <w:iCs/>
        </w:rPr>
        <w:t>43</w:t>
      </w:r>
      <w:r>
        <w:t>(2), 159–180.</w:t>
      </w:r>
      <w:r w:rsidR="008525D6" w:rsidRPr="008525D6">
        <w:t xml:space="preserve"> </w:t>
      </w:r>
      <w:hyperlink r:id="rId74" w:history="1">
        <w:r w:rsidR="008525D6" w:rsidRPr="0084668C">
          <w:rPr>
            <w:rStyle w:val="Hyperlink"/>
          </w:rPr>
          <w:t>https://doi.org/10.1016/0022-0965(87)90057-9</w:t>
        </w:r>
      </w:hyperlink>
      <w:r w:rsidR="008525D6">
        <w:t xml:space="preserve"> </w:t>
      </w:r>
    </w:p>
    <w:p w14:paraId="37ADC7B9" w14:textId="716224E7" w:rsidR="008A5369" w:rsidRDefault="008A5369">
      <w:pPr>
        <w:pStyle w:val="Literaturverzeichnis"/>
      </w:pPr>
      <w:bookmarkStart w:id="76" w:name="ref-simms2018working"/>
      <w:bookmarkEnd w:id="75"/>
      <w:r w:rsidRPr="008A5369">
        <w:t xml:space="preserve">Shivaram, A., Shao, R., Simms, N., Hespos, S., &amp; Gentner, D. (2023). When do Children Pass the Relational-Match-To-Sample Task? </w:t>
      </w:r>
      <w:r w:rsidRPr="008A5369">
        <w:rPr>
          <w:i/>
          <w:iCs/>
        </w:rPr>
        <w:t>Proceedings of the Annual Meeting of the Cognitive Science Society</w:t>
      </w:r>
      <w:r w:rsidRPr="008A5369">
        <w:t xml:space="preserve">, 45. Retrieved from </w:t>
      </w:r>
      <w:hyperlink r:id="rId75" w:history="1">
        <w:r w:rsidRPr="0084668C">
          <w:rPr>
            <w:rStyle w:val="Hyperlink"/>
          </w:rPr>
          <w:t>https://escholarship.org/uc/item/27j6n7jm</w:t>
        </w:r>
      </w:hyperlink>
    </w:p>
    <w:p w14:paraId="7CBDB64D" w14:textId="1419DA97" w:rsidR="00B8759D" w:rsidRPr="00DA5238" w:rsidRDefault="00000000">
      <w:pPr>
        <w:pStyle w:val="Literaturverzeichnis"/>
      </w:pPr>
      <w:r w:rsidRPr="00DA5238">
        <w:t xml:space="preserve">Simms, N. K., Frausel, R. R., &amp; Richland, L. E. (2018). </w:t>
      </w:r>
      <w:r>
        <w:t xml:space="preserve">Working memory predicts children’s analogical reasoning. </w:t>
      </w:r>
      <w:r>
        <w:rPr>
          <w:i/>
          <w:iCs/>
        </w:rPr>
        <w:t>Journal of Experimental Child Psychology</w:t>
      </w:r>
      <w:r>
        <w:t xml:space="preserve">, </w:t>
      </w:r>
      <w:r>
        <w:rPr>
          <w:i/>
          <w:iCs/>
        </w:rPr>
        <w:t>166</w:t>
      </w:r>
      <w:r>
        <w:t>, 160–177.</w:t>
      </w:r>
      <w:r w:rsidR="00CC4143">
        <w:t xml:space="preserve"> </w:t>
      </w:r>
      <w:hyperlink r:id="rId76" w:history="1">
        <w:r w:rsidR="00CC4143" w:rsidRPr="00DA5238">
          <w:rPr>
            <w:rStyle w:val="Hyperlink"/>
          </w:rPr>
          <w:t>https://doi.org/10.1016/j.jecp.2017.08.005</w:t>
        </w:r>
      </w:hyperlink>
      <w:r w:rsidR="00CC4143" w:rsidRPr="00DA5238">
        <w:t xml:space="preserve"> </w:t>
      </w:r>
    </w:p>
    <w:p w14:paraId="17275702" w14:textId="0C5F510E" w:rsidR="004D5D20" w:rsidRDefault="004D5D20">
      <w:pPr>
        <w:pStyle w:val="Literaturverzeichnis"/>
      </w:pPr>
      <w:bookmarkStart w:id="77" w:name="ref-sodian2004infants"/>
      <w:bookmarkEnd w:id="76"/>
      <w:r w:rsidRPr="004D5D20">
        <w:rPr>
          <w:lang w:val="it-IT"/>
        </w:rPr>
        <w:t xml:space="preserve">Sivula, T., Magnusson, M., Matamoros, A. A., &amp; Vehtari, A. (2025). </w:t>
      </w:r>
      <w:r w:rsidRPr="004D5D20">
        <w:t xml:space="preserve">Uncertainty in Bayesian leave-one-out cross-validation based model comparison. </w:t>
      </w:r>
      <w:r w:rsidRPr="004D5D20">
        <w:rPr>
          <w:i/>
          <w:iCs/>
        </w:rPr>
        <w:t>Bayesian Analysis</w:t>
      </w:r>
      <w:r w:rsidRPr="004D5D20">
        <w:t xml:space="preserve">, </w:t>
      </w:r>
      <w:r w:rsidRPr="004D5D20">
        <w:rPr>
          <w:i/>
          <w:iCs/>
        </w:rPr>
        <w:t>1</w:t>
      </w:r>
      <w:r w:rsidRPr="004D5D20">
        <w:t>(1), 1-31.</w:t>
      </w:r>
      <w:r w:rsidR="00776004" w:rsidRPr="00776004">
        <w:t xml:space="preserve"> </w:t>
      </w:r>
      <w:hyperlink r:id="rId77" w:history="1">
        <w:r w:rsidR="00776004" w:rsidRPr="0084668C">
          <w:rPr>
            <w:rStyle w:val="Hyperlink"/>
          </w:rPr>
          <w:t>https://doi.org/10.1214/25-BA1569</w:t>
        </w:r>
      </w:hyperlink>
      <w:r w:rsidR="00776004">
        <w:t xml:space="preserve"> </w:t>
      </w:r>
    </w:p>
    <w:p w14:paraId="4E51A77D" w14:textId="04BCBBDA" w:rsidR="00776004" w:rsidRPr="00776004" w:rsidRDefault="00776004" w:rsidP="00776004">
      <w:pPr>
        <w:pStyle w:val="Literaturverzeichnis"/>
      </w:pPr>
      <w:bookmarkStart w:id="78" w:name="ref-RStan"/>
      <w:bookmarkEnd w:id="77"/>
      <w:r w:rsidRPr="00776004">
        <w:t xml:space="preserve">Sodian, B., &amp; Thoermer, C. (2004). Infants’ Understanding of Looking, Pointing, and Reaching as Cues to Goal-Directed Action. </w:t>
      </w:r>
      <w:r w:rsidRPr="00776004">
        <w:rPr>
          <w:i/>
          <w:iCs/>
        </w:rPr>
        <w:t>Journal of Cognition and Development</w:t>
      </w:r>
      <w:r w:rsidRPr="00776004">
        <w:t xml:space="preserve">, </w:t>
      </w:r>
      <w:r w:rsidRPr="00776004">
        <w:rPr>
          <w:i/>
          <w:iCs/>
        </w:rPr>
        <w:t>5</w:t>
      </w:r>
      <w:r w:rsidRPr="00776004">
        <w:t xml:space="preserve">(3), 289–316. </w:t>
      </w:r>
      <w:hyperlink r:id="rId78" w:history="1">
        <w:r w:rsidRPr="00776004">
          <w:rPr>
            <w:rStyle w:val="Hyperlink"/>
          </w:rPr>
          <w:t>https://doi.org/10.1207/s15327647jcd0503_1</w:t>
        </w:r>
      </w:hyperlink>
      <w:r w:rsidRPr="00776004">
        <w:t xml:space="preserve"> </w:t>
      </w:r>
    </w:p>
    <w:p w14:paraId="41A1E371" w14:textId="5816EEFD" w:rsidR="00CE1536" w:rsidRDefault="00CE1536">
      <w:pPr>
        <w:pStyle w:val="Literaturverzeichnis"/>
      </w:pPr>
      <w:bookmarkStart w:id="79" w:name="ref-thibaut2010development"/>
      <w:bookmarkEnd w:id="78"/>
      <w:r w:rsidRPr="00CE1536">
        <w:t>Stan Development Team</w:t>
      </w:r>
      <w:r>
        <w:t xml:space="preserve"> (2026)</w:t>
      </w:r>
      <w:r w:rsidRPr="00CE1536">
        <w:t xml:space="preserve">. Stan Reference Manual, v2.39.0. </w:t>
      </w:r>
      <w:hyperlink r:id="rId79" w:history="1">
        <w:r w:rsidRPr="0084668C">
          <w:rPr>
            <w:rStyle w:val="Hyperlink"/>
          </w:rPr>
          <w:t>https://mc-stan.org</w:t>
        </w:r>
      </w:hyperlink>
    </w:p>
    <w:p w14:paraId="464DA479" w14:textId="77777777" w:rsidR="00A9018A" w:rsidRDefault="00A9018A">
      <w:pPr>
        <w:pStyle w:val="Literaturverzeichnis"/>
      </w:pPr>
      <w:r w:rsidRPr="00A9018A">
        <w:rPr>
          <w:lang w:val="nl-NL"/>
        </w:rPr>
        <w:lastRenderedPageBreak/>
        <w:t xml:space="preserve">Stevenson, C. E., Alberto, R. A., van den Boom, M. A., &amp; De Boeck, P. A. L. (2014). </w:t>
      </w:r>
      <w:r w:rsidRPr="00A9018A">
        <w:t xml:space="preserve">Visual relations children find easy and difficult to process in figural analogies. </w:t>
      </w:r>
      <w:r w:rsidRPr="00A9018A">
        <w:rPr>
          <w:i/>
          <w:iCs/>
        </w:rPr>
        <w:t>Frontiers in Psychology</w:t>
      </w:r>
      <w:r w:rsidRPr="00A9018A">
        <w:t xml:space="preserve">, </w:t>
      </w:r>
      <w:r w:rsidRPr="00A9018A">
        <w:rPr>
          <w:i/>
          <w:iCs/>
        </w:rPr>
        <w:t>5</w:t>
      </w:r>
      <w:r w:rsidRPr="00A9018A">
        <w:t xml:space="preserve">, Article 827. </w:t>
      </w:r>
      <w:hyperlink r:id="rId80" w:tgtFrame="_blank" w:history="1">
        <w:r w:rsidRPr="00A9018A">
          <w:rPr>
            <w:rStyle w:val="Hyperlink"/>
          </w:rPr>
          <w:t>https://doi.org/10.3389/fpsyg.2014.00827</w:t>
        </w:r>
      </w:hyperlink>
    </w:p>
    <w:p w14:paraId="12B3A047" w14:textId="2BFDE52C" w:rsidR="00B8759D" w:rsidRDefault="00000000">
      <w:pPr>
        <w:pStyle w:val="Literaturverzeichnis"/>
      </w:pPr>
      <w:r w:rsidRPr="00D4301C">
        <w:t xml:space="preserve">Thibaut, J.-P., French, R., &amp; Vezneva, M. (2010). </w:t>
      </w:r>
      <w:r>
        <w:t xml:space="preserve">The development of analogy making in children: Cognitive load and executive functions. </w:t>
      </w:r>
      <w:r>
        <w:rPr>
          <w:i/>
          <w:iCs/>
        </w:rPr>
        <w:t>Journal of Experimental Child Psychology</w:t>
      </w:r>
      <w:r>
        <w:t xml:space="preserve">, </w:t>
      </w:r>
      <w:r>
        <w:rPr>
          <w:i/>
          <w:iCs/>
        </w:rPr>
        <w:t>106</w:t>
      </w:r>
      <w:r>
        <w:t>(1), 1–19.</w:t>
      </w:r>
      <w:r w:rsidR="00873801">
        <w:t xml:space="preserve"> </w:t>
      </w:r>
      <w:hyperlink r:id="rId81" w:history="1">
        <w:r w:rsidR="00873801" w:rsidRPr="0084668C">
          <w:rPr>
            <w:rStyle w:val="Hyperlink"/>
          </w:rPr>
          <w:t>https://doi.org/10.1016/j.jecp.2010.01.001</w:t>
        </w:r>
      </w:hyperlink>
      <w:r w:rsidR="00873801">
        <w:t xml:space="preserve"> </w:t>
      </w:r>
    </w:p>
    <w:p w14:paraId="1018704E" w14:textId="77777777" w:rsidR="00B8759D" w:rsidRDefault="00000000">
      <w:pPr>
        <w:pStyle w:val="Literaturverzeichnis"/>
      </w:pPr>
      <w:bookmarkStart w:id="80" w:name="ref-tomasello2010origins"/>
      <w:bookmarkEnd w:id="79"/>
      <w:r>
        <w:t xml:space="preserve">Tomasello, M. (2010). </w:t>
      </w:r>
      <w:r>
        <w:rPr>
          <w:i/>
          <w:iCs/>
        </w:rPr>
        <w:t>Origins of human communication</w:t>
      </w:r>
      <w:r>
        <w:t>. MIT press.</w:t>
      </w:r>
    </w:p>
    <w:p w14:paraId="14990FC5" w14:textId="19903555" w:rsidR="00B8759D" w:rsidRDefault="00000000">
      <w:pPr>
        <w:pStyle w:val="Literaturverzeichnis"/>
      </w:pPr>
      <w:bookmarkStart w:id="81" w:name="ref-Tomasello2014natural"/>
      <w:bookmarkEnd w:id="80"/>
      <w:r>
        <w:t xml:space="preserve">Tomasello, M. (2014). </w:t>
      </w:r>
      <w:r>
        <w:rPr>
          <w:i/>
          <w:iCs/>
        </w:rPr>
        <w:t>A natural history of human thinking</w:t>
      </w:r>
      <w:r w:rsidR="00523B18">
        <w:t>.</w:t>
      </w:r>
      <w:r>
        <w:t xml:space="preserve"> Harvard University Press.</w:t>
      </w:r>
    </w:p>
    <w:p w14:paraId="15D3D30B" w14:textId="77777777" w:rsidR="00523B18" w:rsidRDefault="00523B18">
      <w:pPr>
        <w:pStyle w:val="Literaturverzeichnis"/>
      </w:pPr>
      <w:bookmarkStart w:id="82" w:name="ref-Tomasello2007new"/>
      <w:bookmarkEnd w:id="81"/>
      <w:r w:rsidRPr="00523B18">
        <w:t xml:space="preserve">Tomasello, M., Call, J., &amp; Gluckman, A. (1997). Comprehension of novel communicative signs by apes and human children. </w:t>
      </w:r>
      <w:r w:rsidRPr="00523B18">
        <w:rPr>
          <w:i/>
          <w:iCs/>
        </w:rPr>
        <w:t>Child Development</w:t>
      </w:r>
      <w:r w:rsidRPr="00523B18">
        <w:t xml:space="preserve">, </w:t>
      </w:r>
      <w:r w:rsidRPr="00523B18">
        <w:rPr>
          <w:i/>
          <w:iCs/>
        </w:rPr>
        <w:t>68</w:t>
      </w:r>
      <w:r w:rsidRPr="00523B18">
        <w:t xml:space="preserve">(6), 1067–1080. </w:t>
      </w:r>
      <w:hyperlink r:id="rId82" w:tgtFrame="_blank" w:history="1">
        <w:r w:rsidRPr="00523B18">
          <w:rPr>
            <w:rStyle w:val="Hyperlink"/>
          </w:rPr>
          <w:t>https://doi.org/10.1111/j.1467-8624.1997.tb01985.x</w:t>
        </w:r>
      </w:hyperlink>
    </w:p>
    <w:p w14:paraId="1AFB5518" w14:textId="2B271816" w:rsidR="00B8759D" w:rsidRDefault="00000000">
      <w:pPr>
        <w:pStyle w:val="Literaturverzeichnis"/>
      </w:pPr>
      <w:r w:rsidRPr="001A700D">
        <w:t xml:space="preserve">Tomasello, M., Carpenter, M., &amp; Liszkowski, U. (2007). </w:t>
      </w:r>
      <w:r>
        <w:t xml:space="preserve">A new look at infant pointing. </w:t>
      </w:r>
      <w:r>
        <w:rPr>
          <w:i/>
          <w:iCs/>
        </w:rPr>
        <w:t>Child Development</w:t>
      </w:r>
      <w:r>
        <w:t xml:space="preserve">, </w:t>
      </w:r>
      <w:r>
        <w:rPr>
          <w:i/>
          <w:iCs/>
        </w:rPr>
        <w:t>78</w:t>
      </w:r>
      <w:r>
        <w:t xml:space="preserve">(3), 705–722. </w:t>
      </w:r>
      <w:hyperlink r:id="rId83">
        <w:r w:rsidR="00B8759D">
          <w:rPr>
            <w:rStyle w:val="Hyperlink"/>
          </w:rPr>
          <w:t>https://doi.org/10.1111/j.1467-8624.2007.01025.x</w:t>
        </w:r>
      </w:hyperlink>
    </w:p>
    <w:p w14:paraId="6A2271E5" w14:textId="77777777" w:rsidR="00523B18" w:rsidRPr="00523B18" w:rsidRDefault="00523B18" w:rsidP="00523B18">
      <w:pPr>
        <w:pStyle w:val="Literaturverzeichnis"/>
      </w:pPr>
      <w:bookmarkStart w:id="83" w:name="ref-Vygotsky1980mind"/>
      <w:bookmarkEnd w:id="82"/>
      <w:r w:rsidRPr="00523B18">
        <w:t xml:space="preserve">Tomasello, M., Striano, T. and Rochat, P. (1999), Do young children use objects as symbols?. British Journal of Developmental Psychology, 17: 563-584. </w:t>
      </w:r>
      <w:hyperlink r:id="rId84" w:history="1">
        <w:r w:rsidRPr="00523B18">
          <w:rPr>
            <w:rStyle w:val="Hyperlink"/>
          </w:rPr>
          <w:t>https://doi.org/10.1348/026151099165483</w:t>
        </w:r>
      </w:hyperlink>
    </w:p>
    <w:p w14:paraId="0458BD97" w14:textId="3A574535" w:rsidR="00B8759D" w:rsidRDefault="00000000">
      <w:pPr>
        <w:pStyle w:val="Literaturverzeichnis"/>
      </w:pPr>
      <w:r>
        <w:t xml:space="preserve">Vygotsky, L. S. (1980). </w:t>
      </w:r>
      <w:r>
        <w:rPr>
          <w:i/>
          <w:iCs/>
        </w:rPr>
        <w:t>Mind in society: The development of higher psychological processes</w:t>
      </w:r>
      <w:r w:rsidR="002944B2">
        <w:t xml:space="preserve">. </w:t>
      </w:r>
      <w:r>
        <w:t>Harvard University Press.</w:t>
      </w:r>
    </w:p>
    <w:bookmarkEnd w:id="27"/>
    <w:bookmarkEnd w:id="29"/>
    <w:bookmarkEnd w:id="83"/>
    <w:p w14:paraId="327C1265" w14:textId="77777777" w:rsidR="002944B2" w:rsidRDefault="002944B2" w:rsidP="00F97FF8">
      <w:pPr>
        <w:pStyle w:val="Literaturverzeichnis"/>
      </w:pPr>
      <w:r w:rsidRPr="002944B2">
        <w:t xml:space="preserve">Wellman, H. M., Cross, D., &amp; Watson, J. (2001). Meta-analysis of theory-of-mind development: The truth about false belief. </w:t>
      </w:r>
      <w:r w:rsidRPr="002944B2">
        <w:rPr>
          <w:i/>
          <w:iCs/>
        </w:rPr>
        <w:t>Child Development</w:t>
      </w:r>
      <w:r w:rsidRPr="002944B2">
        <w:t xml:space="preserve">, </w:t>
      </w:r>
      <w:r w:rsidRPr="002944B2">
        <w:rPr>
          <w:i/>
          <w:iCs/>
        </w:rPr>
        <w:t>72</w:t>
      </w:r>
      <w:r w:rsidRPr="002944B2">
        <w:t xml:space="preserve">(3), 655–684. </w:t>
      </w:r>
      <w:hyperlink r:id="rId85" w:tgtFrame="_blank" w:history="1">
        <w:r w:rsidRPr="002944B2">
          <w:rPr>
            <w:rStyle w:val="Hyperlink"/>
          </w:rPr>
          <w:t>https://doi.org/10.1111/1467-8624.00304</w:t>
        </w:r>
      </w:hyperlink>
    </w:p>
    <w:p w14:paraId="291DB040" w14:textId="2A5FA650" w:rsidR="00663537" w:rsidRDefault="00663537" w:rsidP="00F97FF8">
      <w:pPr>
        <w:pStyle w:val="Literaturverzeichnis"/>
      </w:pPr>
      <w:r w:rsidRPr="00663537">
        <w:lastRenderedPageBreak/>
        <w:t xml:space="preserve">Winter, B., Woodin, G., &amp; Perlman, M. (2026). Defining iconicity for the cognitive sciences. In O. Fischer, K. Akita, &amp; P. Perniss (Eds.), </w:t>
      </w:r>
      <w:r w:rsidRPr="00663537">
        <w:rPr>
          <w:i/>
          <w:iCs/>
        </w:rPr>
        <w:t>The Oxford handbook of iconicity in language</w:t>
      </w:r>
      <w:r w:rsidRPr="00663537">
        <w:t xml:space="preserve"> (pp. 138–150). Oxford University Press. </w:t>
      </w:r>
      <w:hyperlink r:id="rId86" w:tgtFrame="_blank" w:history="1">
        <w:r w:rsidRPr="00663537">
          <w:rPr>
            <w:rStyle w:val="Hyperlink"/>
          </w:rPr>
          <w:t>https://doi.org/10.1093/oxfordhb/9780192849489.013.0012</w:t>
        </w:r>
      </w:hyperlink>
    </w:p>
    <w:p w14:paraId="4AE95932" w14:textId="11774EFB" w:rsidR="00F97FF8" w:rsidRPr="00663537" w:rsidRDefault="00F97FF8" w:rsidP="00F97FF8">
      <w:pPr>
        <w:pStyle w:val="Literaturverzeichnis"/>
      </w:pPr>
      <w:r w:rsidRPr="00663537">
        <w:t xml:space="preserve">Zheng, Y., Matlen, B. and Gentner, D. (2022), Spatial Alignment Facilitates Visual Comparison in Children. Cognitive Science, 46: e13182. </w:t>
      </w:r>
      <w:hyperlink r:id="rId87" w:history="1">
        <w:r w:rsidRPr="00663537">
          <w:rPr>
            <w:rStyle w:val="Hyperlink"/>
          </w:rPr>
          <w:t>https://doi.org/10.1111/cogs.13182</w:t>
        </w:r>
      </w:hyperlink>
    </w:p>
    <w:p w14:paraId="2A4D839F" w14:textId="243CC8A0" w:rsidR="00B8759D" w:rsidRDefault="00B8759D" w:rsidP="00F97FF8">
      <w:pPr>
        <w:pStyle w:val="Literaturverzeichnis"/>
      </w:pPr>
    </w:p>
    <w:sectPr w:rsidR="00B8759D" w:rsidSect="00084144">
      <w:headerReference w:type="even" r:id="rId88"/>
      <w:headerReference w:type="default" r:id="rId89"/>
      <w:headerReference w:type="first" r:id="rId90"/>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70E6A" w14:textId="77777777" w:rsidR="00F45420" w:rsidRDefault="00F45420">
      <w:pPr>
        <w:spacing w:before="0" w:after="0" w:line="240" w:lineRule="auto"/>
      </w:pPr>
      <w:r>
        <w:separator/>
      </w:r>
    </w:p>
  </w:endnote>
  <w:endnote w:type="continuationSeparator" w:id="0">
    <w:p w14:paraId="2B840219" w14:textId="77777777" w:rsidR="00F45420" w:rsidRDefault="00F4542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097DF" w14:textId="77777777" w:rsidR="00F45420" w:rsidRDefault="00F45420">
      <w:pPr>
        <w:spacing w:before="0" w:after="0" w:line="240" w:lineRule="auto"/>
      </w:pPr>
      <w:r>
        <w:separator/>
      </w:r>
    </w:p>
  </w:footnote>
  <w:footnote w:type="continuationSeparator" w:id="0">
    <w:p w14:paraId="673A109F" w14:textId="77777777" w:rsidR="00F45420" w:rsidRDefault="00F4542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09259971"/>
      <w:docPartObj>
        <w:docPartGallery w:val="Page Numbers (Top of Page)"/>
        <w:docPartUnique/>
      </w:docPartObj>
    </w:sdtPr>
    <w:sdtContent>
      <w:p w14:paraId="3F136A12" w14:textId="77777777" w:rsidR="00CA13A6"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6D90D2D" w14:textId="77777777" w:rsidR="00CA13A6" w:rsidRDefault="00CA13A6"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922177194"/>
      <w:docPartObj>
        <w:docPartGallery w:val="Page Numbers (Top of Page)"/>
        <w:docPartUnique/>
      </w:docPartObj>
    </w:sdtPr>
    <w:sdtContent>
      <w:p w14:paraId="10D6D5C9" w14:textId="77777777" w:rsidR="00CA13A6"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1CD44841" w14:textId="77777777" w:rsidR="00CA13A6" w:rsidRPr="00A05772" w:rsidRDefault="00693388" w:rsidP="00693388">
    <w:pPr>
      <w:pStyle w:val="Kopfzeile"/>
      <w:ind w:right="360"/>
    </w:pPr>
    <w:r>
      <w:t>COMPREHENSION OF GRAPHIC SYMBOL-REFERENT RELATIONSHIPS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89921216"/>
      <w:docPartObj>
        <w:docPartGallery w:val="Page Numbers (Top of Page)"/>
        <w:docPartUnique/>
      </w:docPartObj>
    </w:sdtPr>
    <w:sdtContent>
      <w:p w14:paraId="5B67524D" w14:textId="77777777" w:rsidR="00CA13A6"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25CD3D40" w14:textId="77777777" w:rsidR="00CA13A6" w:rsidRPr="00A05772" w:rsidRDefault="00E753DB" w:rsidP="00084144">
    <w:pPr>
      <w:pStyle w:val="Kopfzeile"/>
      <w:ind w:right="360"/>
    </w:pPr>
    <w:r>
      <w:t xml:space="preserve">Running head: </w:t>
    </w:r>
    <w:r w:rsidR="00CF1051">
      <w:t>COMPREHENSION OF GRAPHIC SYMBOL-REFERENT RELATIONSHIPS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881042949">
    <w:abstractNumId w:val="13"/>
  </w:num>
  <w:num w:numId="2" w16cid:durableId="8991911">
    <w:abstractNumId w:val="13"/>
  </w:num>
  <w:num w:numId="3" w16cid:durableId="181483064">
    <w:abstractNumId w:val="14"/>
  </w:num>
  <w:num w:numId="4" w16cid:durableId="1074476603">
    <w:abstractNumId w:val="1"/>
  </w:num>
  <w:num w:numId="5" w16cid:durableId="13650707">
    <w:abstractNumId w:val="2"/>
  </w:num>
  <w:num w:numId="6" w16cid:durableId="1299069871">
    <w:abstractNumId w:val="3"/>
  </w:num>
  <w:num w:numId="7" w16cid:durableId="256720234">
    <w:abstractNumId w:val="4"/>
  </w:num>
  <w:num w:numId="8" w16cid:durableId="1489709051">
    <w:abstractNumId w:val="9"/>
  </w:num>
  <w:num w:numId="9" w16cid:durableId="396394436">
    <w:abstractNumId w:val="5"/>
  </w:num>
  <w:num w:numId="10" w16cid:durableId="168910915">
    <w:abstractNumId w:val="6"/>
  </w:num>
  <w:num w:numId="11" w16cid:durableId="343213305">
    <w:abstractNumId w:val="7"/>
  </w:num>
  <w:num w:numId="12" w16cid:durableId="752824721">
    <w:abstractNumId w:val="8"/>
  </w:num>
  <w:num w:numId="13" w16cid:durableId="836578210">
    <w:abstractNumId w:val="10"/>
  </w:num>
  <w:num w:numId="14" w16cid:durableId="1291008769">
    <w:abstractNumId w:val="14"/>
  </w:num>
  <w:num w:numId="15" w16cid:durableId="793014654">
    <w:abstractNumId w:val="0"/>
  </w:num>
  <w:num w:numId="16" w16cid:durableId="1981962838">
    <w:abstractNumId w:val="0"/>
  </w:num>
  <w:num w:numId="17" w16cid:durableId="582688819">
    <w:abstractNumId w:val="11"/>
  </w:num>
  <w:num w:numId="18" w16cid:durableId="886264393">
    <w:abstractNumId w:val="12"/>
  </w:num>
  <w:num w:numId="19" w16cid:durableId="1692142331">
    <w:abstractNumId w:val="11"/>
  </w:num>
  <w:num w:numId="20" w16cid:durableId="897206004">
    <w:abstractNumId w:val="12"/>
  </w:num>
  <w:num w:numId="21" w16cid:durableId="2138571129">
    <w:abstractNumId w:val="11"/>
  </w:num>
  <w:num w:numId="22" w16cid:durableId="918369264">
    <w:abstractNumId w:val="12"/>
  </w:num>
  <w:num w:numId="23" w16cid:durableId="6364476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42D68"/>
    <w:rsid w:val="00057B88"/>
    <w:rsid w:val="00060AF7"/>
    <w:rsid w:val="00084144"/>
    <w:rsid w:val="000F482B"/>
    <w:rsid w:val="001147FE"/>
    <w:rsid w:val="00153AC7"/>
    <w:rsid w:val="00162A63"/>
    <w:rsid w:val="001850A4"/>
    <w:rsid w:val="001A700D"/>
    <w:rsid w:val="001B4FE9"/>
    <w:rsid w:val="001C4AA1"/>
    <w:rsid w:val="001D4029"/>
    <w:rsid w:val="001F734F"/>
    <w:rsid w:val="00212136"/>
    <w:rsid w:val="00221B33"/>
    <w:rsid w:val="0022219B"/>
    <w:rsid w:val="0022641C"/>
    <w:rsid w:val="00234353"/>
    <w:rsid w:val="00237B66"/>
    <w:rsid w:val="00272779"/>
    <w:rsid w:val="002944B2"/>
    <w:rsid w:val="00295CF4"/>
    <w:rsid w:val="002D1753"/>
    <w:rsid w:val="003004B0"/>
    <w:rsid w:val="0030105B"/>
    <w:rsid w:val="00302FA8"/>
    <w:rsid w:val="00313569"/>
    <w:rsid w:val="00334BCD"/>
    <w:rsid w:val="00345C21"/>
    <w:rsid w:val="0035011F"/>
    <w:rsid w:val="00352BA1"/>
    <w:rsid w:val="003756FC"/>
    <w:rsid w:val="003A24FA"/>
    <w:rsid w:val="003B2CBC"/>
    <w:rsid w:val="003D44B0"/>
    <w:rsid w:val="003F3ECB"/>
    <w:rsid w:val="003F6407"/>
    <w:rsid w:val="0040411A"/>
    <w:rsid w:val="00430572"/>
    <w:rsid w:val="00435F1A"/>
    <w:rsid w:val="00460518"/>
    <w:rsid w:val="004640B9"/>
    <w:rsid w:val="004675F5"/>
    <w:rsid w:val="00472128"/>
    <w:rsid w:val="00480173"/>
    <w:rsid w:val="00495637"/>
    <w:rsid w:val="004D5D20"/>
    <w:rsid w:val="00506818"/>
    <w:rsid w:val="00510364"/>
    <w:rsid w:val="00523B18"/>
    <w:rsid w:val="005272E9"/>
    <w:rsid w:val="005331F6"/>
    <w:rsid w:val="0053553B"/>
    <w:rsid w:val="00546764"/>
    <w:rsid w:val="005525B2"/>
    <w:rsid w:val="00594D9E"/>
    <w:rsid w:val="005A49F5"/>
    <w:rsid w:val="005A4D60"/>
    <w:rsid w:val="005A55BB"/>
    <w:rsid w:val="005E0B6C"/>
    <w:rsid w:val="005F2473"/>
    <w:rsid w:val="0061482A"/>
    <w:rsid w:val="006373B0"/>
    <w:rsid w:val="00643FBD"/>
    <w:rsid w:val="00657465"/>
    <w:rsid w:val="00663537"/>
    <w:rsid w:val="006733F1"/>
    <w:rsid w:val="00673EFE"/>
    <w:rsid w:val="00693388"/>
    <w:rsid w:val="00694C97"/>
    <w:rsid w:val="006B5514"/>
    <w:rsid w:val="006E6812"/>
    <w:rsid w:val="007206AF"/>
    <w:rsid w:val="00751825"/>
    <w:rsid w:val="007564F0"/>
    <w:rsid w:val="00776004"/>
    <w:rsid w:val="00777F76"/>
    <w:rsid w:val="007B3434"/>
    <w:rsid w:val="007F1A7B"/>
    <w:rsid w:val="007F32C3"/>
    <w:rsid w:val="00821DFB"/>
    <w:rsid w:val="00831432"/>
    <w:rsid w:val="00834721"/>
    <w:rsid w:val="008367A0"/>
    <w:rsid w:val="008415CF"/>
    <w:rsid w:val="008525D6"/>
    <w:rsid w:val="00853483"/>
    <w:rsid w:val="00871062"/>
    <w:rsid w:val="00873801"/>
    <w:rsid w:val="008A5369"/>
    <w:rsid w:val="008A5E24"/>
    <w:rsid w:val="008A7C25"/>
    <w:rsid w:val="008F2A10"/>
    <w:rsid w:val="008F6269"/>
    <w:rsid w:val="00943EE8"/>
    <w:rsid w:val="00970117"/>
    <w:rsid w:val="00974926"/>
    <w:rsid w:val="009B67C0"/>
    <w:rsid w:val="009C7C9A"/>
    <w:rsid w:val="009E05DE"/>
    <w:rsid w:val="009E14D2"/>
    <w:rsid w:val="009F1DC8"/>
    <w:rsid w:val="00A00DFA"/>
    <w:rsid w:val="00A13DCB"/>
    <w:rsid w:val="00A158E4"/>
    <w:rsid w:val="00A47307"/>
    <w:rsid w:val="00A62433"/>
    <w:rsid w:val="00A630D1"/>
    <w:rsid w:val="00A7580A"/>
    <w:rsid w:val="00A9018A"/>
    <w:rsid w:val="00A9299B"/>
    <w:rsid w:val="00A9507E"/>
    <w:rsid w:val="00A97C20"/>
    <w:rsid w:val="00AB5CFC"/>
    <w:rsid w:val="00AE1710"/>
    <w:rsid w:val="00AE233F"/>
    <w:rsid w:val="00AE310F"/>
    <w:rsid w:val="00AE425F"/>
    <w:rsid w:val="00B02A8F"/>
    <w:rsid w:val="00B046BA"/>
    <w:rsid w:val="00B1189D"/>
    <w:rsid w:val="00B13A17"/>
    <w:rsid w:val="00B13F21"/>
    <w:rsid w:val="00B2314F"/>
    <w:rsid w:val="00B3140D"/>
    <w:rsid w:val="00B374F9"/>
    <w:rsid w:val="00B45851"/>
    <w:rsid w:val="00B8759D"/>
    <w:rsid w:val="00BA1405"/>
    <w:rsid w:val="00BA5783"/>
    <w:rsid w:val="00BC11CE"/>
    <w:rsid w:val="00BD285A"/>
    <w:rsid w:val="00BF4828"/>
    <w:rsid w:val="00BF4B6B"/>
    <w:rsid w:val="00BF5747"/>
    <w:rsid w:val="00C758E6"/>
    <w:rsid w:val="00CA13A6"/>
    <w:rsid w:val="00CB2743"/>
    <w:rsid w:val="00CC4143"/>
    <w:rsid w:val="00CD3FE6"/>
    <w:rsid w:val="00CD78A8"/>
    <w:rsid w:val="00CE1536"/>
    <w:rsid w:val="00CE6E07"/>
    <w:rsid w:val="00CF1051"/>
    <w:rsid w:val="00D07A23"/>
    <w:rsid w:val="00D110C1"/>
    <w:rsid w:val="00D4301C"/>
    <w:rsid w:val="00D43E02"/>
    <w:rsid w:val="00D47A28"/>
    <w:rsid w:val="00D90739"/>
    <w:rsid w:val="00D9382F"/>
    <w:rsid w:val="00DA5238"/>
    <w:rsid w:val="00DB2CEA"/>
    <w:rsid w:val="00DB324F"/>
    <w:rsid w:val="00DD0C70"/>
    <w:rsid w:val="00DD3041"/>
    <w:rsid w:val="00E001AE"/>
    <w:rsid w:val="00E0607B"/>
    <w:rsid w:val="00E2411F"/>
    <w:rsid w:val="00E6162F"/>
    <w:rsid w:val="00E634E8"/>
    <w:rsid w:val="00E753DB"/>
    <w:rsid w:val="00E931A9"/>
    <w:rsid w:val="00EA675D"/>
    <w:rsid w:val="00EB1F7E"/>
    <w:rsid w:val="00EB46CD"/>
    <w:rsid w:val="00EC35E8"/>
    <w:rsid w:val="00ED107F"/>
    <w:rsid w:val="00F00419"/>
    <w:rsid w:val="00F07F00"/>
    <w:rsid w:val="00F23171"/>
    <w:rsid w:val="00F45420"/>
    <w:rsid w:val="00F93BE3"/>
    <w:rsid w:val="00F97FF8"/>
    <w:rsid w:val="00FB5E88"/>
    <w:rsid w:val="00FC534A"/>
    <w:rsid w:val="00FD5183"/>
    <w:rsid w:val="00FF5405"/>
    <w:rsid w:val="00FF7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2B3AD"/>
  <w15:docId w15:val="{D526C764-6F40-444E-B6DB-80DE45823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925AA9"/>
    <w:pPr>
      <w:suppressLineNumbers/>
      <w:spacing w:before="0"/>
    </w:pPr>
  </w:style>
  <w:style w:type="table" w:customStyle="1" w:styleId="Table">
    <w:name w:val="Table"/>
    <w:basedOn w:val="NormaleTabelle"/>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6E6812"/>
    <w:pPr>
      <w:keepNext/>
      <w:suppressLineNumbers/>
      <w:spacing w:before="240"/>
    </w:pPr>
    <w:rPr>
      <w:i w:val="0"/>
    </w:rPr>
  </w:style>
  <w:style w:type="paragraph" w:customStyle="1" w:styleId="ImageCaption">
    <w:name w:val="Image Caption"/>
    <w:basedOn w:val="Beschriftung"/>
    <w:rsid w:val="009E05DE"/>
    <w:pPr>
      <w:keepLines/>
      <w:suppressLineNumbers/>
      <w:spacing w:after="600"/>
    </w:pPr>
    <w:rPr>
      <w:i w:val="0"/>
    </w:rPr>
  </w:style>
  <w:style w:type="paragraph" w:customStyle="1" w:styleId="Figure">
    <w:name w:val="Figure"/>
    <w:basedOn w:val="Standard"/>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Zeilennummer">
    <w:name w:val="line number"/>
    <w:basedOn w:val="Absatz-Standardschriftart"/>
    <w:semiHidden/>
    <w:unhideWhenUsed/>
    <w:rsid w:val="003D36D1"/>
  </w:style>
  <w:style w:type="paragraph" w:customStyle="1" w:styleId="authornote">
    <w:name w:val="authornote"/>
    <w:basedOn w:val="Textkrper"/>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paragraph" w:styleId="berarbeitung">
    <w:name w:val="Revision"/>
    <w:hidden/>
    <w:semiHidden/>
    <w:rsid w:val="00345C21"/>
    <w:pPr>
      <w:spacing w:after="0"/>
    </w:pPr>
    <w:rPr>
      <w:rFonts w:ascii="Times New Roman" w:hAnsi="Times New Roman"/>
    </w:rPr>
  </w:style>
  <w:style w:type="character" w:styleId="Kommentarzeichen">
    <w:name w:val="annotation reference"/>
    <w:basedOn w:val="Absatz-Standardschriftart"/>
    <w:semiHidden/>
    <w:unhideWhenUsed/>
    <w:rsid w:val="00345C21"/>
    <w:rPr>
      <w:sz w:val="16"/>
      <w:szCs w:val="16"/>
    </w:rPr>
  </w:style>
  <w:style w:type="paragraph" w:styleId="Kommentartext">
    <w:name w:val="annotation text"/>
    <w:basedOn w:val="Standard"/>
    <w:link w:val="KommentartextZchn"/>
    <w:semiHidden/>
    <w:unhideWhenUsed/>
    <w:rsid w:val="00345C21"/>
    <w:pPr>
      <w:spacing w:line="240" w:lineRule="auto"/>
    </w:pPr>
    <w:rPr>
      <w:sz w:val="20"/>
      <w:szCs w:val="20"/>
    </w:rPr>
  </w:style>
  <w:style w:type="character" w:customStyle="1" w:styleId="KommentartextZchn">
    <w:name w:val="Kommentartext Zchn"/>
    <w:basedOn w:val="Absatz-Standardschriftart"/>
    <w:link w:val="Kommentartext"/>
    <w:semiHidden/>
    <w:rsid w:val="00345C21"/>
    <w:rPr>
      <w:rFonts w:ascii="Times New Roman" w:hAnsi="Times New Roman"/>
      <w:sz w:val="20"/>
      <w:szCs w:val="20"/>
    </w:rPr>
  </w:style>
  <w:style w:type="paragraph" w:styleId="Kommentarthema">
    <w:name w:val="annotation subject"/>
    <w:basedOn w:val="Kommentartext"/>
    <w:next w:val="Kommentartext"/>
    <w:link w:val="KommentarthemaZchn"/>
    <w:semiHidden/>
    <w:unhideWhenUsed/>
    <w:rsid w:val="00345C21"/>
    <w:rPr>
      <w:b/>
      <w:bCs/>
    </w:rPr>
  </w:style>
  <w:style w:type="character" w:customStyle="1" w:styleId="KommentarthemaZchn">
    <w:name w:val="Kommentarthema Zchn"/>
    <w:basedOn w:val="KommentartextZchn"/>
    <w:link w:val="Kommentarthema"/>
    <w:semiHidden/>
    <w:rsid w:val="00345C21"/>
    <w:rPr>
      <w:rFonts w:ascii="Times New Roman" w:hAnsi="Times New Roman"/>
      <w:b/>
      <w:bCs/>
      <w:sz w:val="20"/>
      <w:szCs w:val="20"/>
    </w:rPr>
  </w:style>
  <w:style w:type="character" w:styleId="BesuchterLink">
    <w:name w:val="FollowedHyperlink"/>
    <w:basedOn w:val="Absatz-Standardschriftart"/>
    <w:semiHidden/>
    <w:unhideWhenUsed/>
    <w:rsid w:val="00345C21"/>
    <w:rPr>
      <w:color w:val="800080" w:themeColor="followedHyperlink"/>
      <w:u w:val="single"/>
    </w:rPr>
  </w:style>
  <w:style w:type="character" w:styleId="NichtaufgelsteErwhnung">
    <w:name w:val="Unresolved Mention"/>
    <w:basedOn w:val="Absatz-Standardschriftart"/>
    <w:uiPriority w:val="99"/>
    <w:semiHidden/>
    <w:unhideWhenUsed/>
    <w:rsid w:val="00974926"/>
    <w:rPr>
      <w:color w:val="605E5C"/>
      <w:shd w:val="clear" w:color="auto" w:fill="E1DFDD"/>
    </w:rPr>
  </w:style>
  <w:style w:type="paragraph" w:styleId="HTMLVorformatiert">
    <w:name w:val="HTML Preformatted"/>
    <w:basedOn w:val="Standard"/>
    <w:link w:val="HTMLVorformatiertZchn"/>
    <w:semiHidden/>
    <w:unhideWhenUsed/>
    <w:rsid w:val="001A700D"/>
    <w:pPr>
      <w:spacing w:before="0" w:after="0" w:line="240" w:lineRule="auto"/>
    </w:pPr>
    <w:rPr>
      <w:rFonts w:ascii="Consolas" w:hAnsi="Consolas" w:cs="Consolas"/>
      <w:sz w:val="20"/>
      <w:szCs w:val="20"/>
    </w:rPr>
  </w:style>
  <w:style w:type="character" w:customStyle="1" w:styleId="HTMLVorformatiertZchn">
    <w:name w:val="HTML Vorformatiert Zchn"/>
    <w:basedOn w:val="Absatz-Standardschriftart"/>
    <w:link w:val="HTMLVorformatiert"/>
    <w:semiHidden/>
    <w:rsid w:val="001A700D"/>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4159/9780674251083" TargetMode="External"/><Relationship Id="rId21" Type="http://schemas.openxmlformats.org/officeDocument/2006/relationships/image" Target="media/image7.png"/><Relationship Id="rId42" Type="http://schemas.openxmlformats.org/officeDocument/2006/relationships/hyperlink" Target="https://doi.org/10.1016/0885-2014(92)90019-N" TargetMode="External"/><Relationship Id="rId47" Type="http://schemas.openxmlformats.org/officeDocument/2006/relationships/hyperlink" Target="https://psycnet.apa.org/doi/10.1037/0012-1649.17.1.99" TargetMode="External"/><Relationship Id="rId63" Type="http://schemas.openxmlformats.org/officeDocument/2006/relationships/hyperlink" Target="https://doi.org/10.1016/j.cognition.2021.105007" TargetMode="External"/><Relationship Id="rId68" Type="http://schemas.openxmlformats.org/officeDocument/2006/relationships/hyperlink" Target="https://doi.org/10.1057/s41599-020-0404-9" TargetMode="External"/><Relationship Id="rId84" Type="http://schemas.openxmlformats.org/officeDocument/2006/relationships/hyperlink" Target="https://doi.org/10.1348/026151099165483" TargetMode="External"/><Relationship Id="rId89" Type="http://schemas.openxmlformats.org/officeDocument/2006/relationships/header" Target="header2.xml"/><Relationship Id="rId16" Type="http://schemas.openxmlformats.org/officeDocument/2006/relationships/image" Target="media/image4.png"/><Relationship Id="rId11" Type="http://schemas.openxmlformats.org/officeDocument/2006/relationships/image" Target="media/image1.png"/><Relationship Id="rId32" Type="http://schemas.openxmlformats.org/officeDocument/2006/relationships/hyperlink" Target="https://doi.org/10.1016/j.cogdev.2007.08.002" TargetMode="External"/><Relationship Id="rId37" Type="http://schemas.openxmlformats.org/officeDocument/2006/relationships/hyperlink" Target="https://doi.org/10.1126/science.1121739" TargetMode="External"/><Relationship Id="rId53" Type="http://schemas.openxmlformats.org/officeDocument/2006/relationships/hyperlink" Target="https://doi.org/10.1016/0010-0285(80)90013-4" TargetMode="External"/><Relationship Id="rId58" Type="http://schemas.openxmlformats.org/officeDocument/2006/relationships/hyperlink" Target="https://doi.org/10.1017/S0140525X0999152X" TargetMode="External"/><Relationship Id="rId74" Type="http://schemas.openxmlformats.org/officeDocument/2006/relationships/hyperlink" Target="https://doi.org/10.1016/0022-0965(87)90057-9" TargetMode="External"/><Relationship Id="rId79" Type="http://schemas.openxmlformats.org/officeDocument/2006/relationships/hyperlink" Target="https://mc-stan.org" TargetMode="External"/><Relationship Id="rId5" Type="http://schemas.openxmlformats.org/officeDocument/2006/relationships/footnotes" Target="footnotes.xml"/><Relationship Id="rId90" Type="http://schemas.openxmlformats.org/officeDocument/2006/relationships/header" Target="header3.xml"/><Relationship Id="rId14" Type="http://schemas.openxmlformats.org/officeDocument/2006/relationships/hyperlink" Target="https://aspredicted.org/L2H_XC7" TargetMode="External"/><Relationship Id="rId22" Type="http://schemas.openxmlformats.org/officeDocument/2006/relationships/hyperlink" Target="https://doi.org/10.1111/j.2044-835X.2011.02043.x" TargetMode="External"/><Relationship Id="rId27" Type="http://schemas.openxmlformats.org/officeDocument/2006/relationships/hyperlink" Target="https://doi.org/10.1016/S0166-4115(08)60456-2" TargetMode="External"/><Relationship Id="rId30" Type="http://schemas.openxmlformats.org/officeDocument/2006/relationships/hyperlink" Target="https://doi.org/10.1002/9781118963418.childpsy207" TargetMode="External"/><Relationship Id="rId35" Type="http://schemas.openxmlformats.org/officeDocument/2006/relationships/hyperlink" Target="https://doi.org/10.1111/tops.12276" TargetMode="External"/><Relationship Id="rId43" Type="http://schemas.openxmlformats.org/officeDocument/2006/relationships/hyperlink" Target="https://doi.org/10.1146/annurev-psych-113011-143750" TargetMode="External"/><Relationship Id="rId48" Type="http://schemas.openxmlformats.org/officeDocument/2006/relationships/hyperlink" Target="https://doi.org/10.1080/15248370701836592" TargetMode="External"/><Relationship Id="rId56" Type="http://schemas.openxmlformats.org/officeDocument/2006/relationships/hyperlink" Target="https://doi.org/10.1111/j.1467-8624.1991.tb01511.x" TargetMode="External"/><Relationship Id="rId64" Type="http://schemas.openxmlformats.org/officeDocument/2006/relationships/hyperlink" Target="https://doi.org/10.1111/j.1467-7687.2009.00862.x" TargetMode="External"/><Relationship Id="rId69" Type="http://schemas.openxmlformats.org/officeDocument/2006/relationships/hyperlink" Target="https://doi.org/10.1038/s44159-022-00037-z" TargetMode="External"/><Relationship Id="rId77" Type="http://schemas.openxmlformats.org/officeDocument/2006/relationships/hyperlink" Target="https://doi.org/10.1214/25-BA1569" TargetMode="External"/><Relationship Id="rId8" Type="http://schemas.openxmlformats.org/officeDocument/2006/relationships/hyperlink" Target="Preregistration%20Study1" TargetMode="External"/><Relationship Id="rId51" Type="http://schemas.openxmlformats.org/officeDocument/2006/relationships/hyperlink" Target="https://doi.org/10.1111/tops.12278" TargetMode="External"/><Relationship Id="rId72" Type="http://schemas.openxmlformats.org/officeDocument/2006/relationships/hyperlink" Target="https://doi.org/10.1111/desc.13236" TargetMode="External"/><Relationship Id="rId80" Type="http://schemas.openxmlformats.org/officeDocument/2006/relationships/hyperlink" Target="https://doi.org/10.3389/fpsyg.2014.00827" TargetMode="External"/><Relationship Id="rId85" Type="http://schemas.openxmlformats.org/officeDocument/2006/relationships/hyperlink" Target="https://doi.org/10.1111/1467-8624.00304"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doi.org/10.1111/desc.13401" TargetMode="External"/><Relationship Id="rId33" Type="http://schemas.openxmlformats.org/officeDocument/2006/relationships/hyperlink" Target="https://doi.org/10.1111/cogs.12099" TargetMode="External"/><Relationship Id="rId38" Type="http://schemas.openxmlformats.org/officeDocument/2006/relationships/hyperlink" Target="https://doi.org/10.1111/j.1467-8624.1991.tb01566.x" TargetMode="External"/><Relationship Id="rId46" Type="http://schemas.openxmlformats.org/officeDocument/2006/relationships/hyperlink" Target="https://doi.org/10.1075/pc.22.2.05fay" TargetMode="External"/><Relationship Id="rId59" Type="http://schemas.openxmlformats.org/officeDocument/2006/relationships/hyperlink" Target="https://doi.org/10.1073/pnas.1221217110" TargetMode="External"/><Relationship Id="rId67" Type="http://schemas.openxmlformats.org/officeDocument/2006/relationships/hyperlink" Target="https://doi.org/10.1075/is.14.1.05moo" TargetMode="External"/><Relationship Id="rId20" Type="http://schemas.openxmlformats.org/officeDocument/2006/relationships/image" Target="media/image6.png"/><Relationship Id="rId41" Type="http://schemas.openxmlformats.org/officeDocument/2006/relationships/hyperlink" Target="https://www.google.com/search?q=https://doi.org/10.1002/978144382521.ch13&amp;authuser=1" TargetMode="External"/><Relationship Id="rId54" Type="http://schemas.openxmlformats.org/officeDocument/2006/relationships/hyperlink" Target="https://doi.org/10.1111/cdev.13412" TargetMode="External"/><Relationship Id="rId62" Type="http://schemas.openxmlformats.org/officeDocument/2006/relationships/hyperlink" Target="https://psycnet.apa.org/doi/10.1037/xge0001068" TargetMode="External"/><Relationship Id="rId70" Type="http://schemas.openxmlformats.org/officeDocument/2006/relationships/hyperlink" Target="https://doi.org/10.1016/S0885-2014(98)90003-X" TargetMode="External"/><Relationship Id="rId75" Type="http://schemas.openxmlformats.org/officeDocument/2006/relationships/hyperlink" Target="https://escholarship.org/uc/item/27j6n7jm" TargetMode="External"/><Relationship Id="rId83" Type="http://schemas.openxmlformats.org/officeDocument/2006/relationships/hyperlink" Target="https://doi.org/10.1111/j.1467-8624.2007.01025.x" TargetMode="External"/><Relationship Id="rId88" Type="http://schemas.openxmlformats.org/officeDocument/2006/relationships/header" Target="header1.xm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spredicted.org/L2H_XC7" TargetMode="External"/><Relationship Id="rId23" Type="http://schemas.openxmlformats.org/officeDocument/2006/relationships/hyperlink" Target="https://doi.org/10.1111/desc.12757" TargetMode="External"/><Relationship Id="rId28" Type="http://schemas.openxmlformats.org/officeDocument/2006/relationships/hyperlink" Target="https://doi.org/10.1111/1467-8624.00096" TargetMode="External"/><Relationship Id="rId36" Type="http://schemas.openxmlformats.org/officeDocument/2006/relationships/hyperlink" Target="https://doi.org/10.4324/9780203837863%20" TargetMode="External"/><Relationship Id="rId49" Type="http://schemas.openxmlformats.org/officeDocument/2006/relationships/hyperlink" Target="https://doi.org/10.1016/S0010-0277(98)00022-5" TargetMode="External"/><Relationship Id="rId57" Type="http://schemas.openxmlformats.org/officeDocument/2006/relationships/hyperlink" Target="https://doi:10.1017/S0140525X98001769" TargetMode="External"/><Relationship Id="rId10" Type="http://schemas.openxmlformats.org/officeDocument/2006/relationships/hyperlink" Target="https://doi.org/10.5281/zenodo.21894820" TargetMode="External"/><Relationship Id="rId31" Type="http://schemas.openxmlformats.org/officeDocument/2006/relationships/hyperlink" Target="https://doi.org/10.1080/15248372.2011.587853" TargetMode="External"/><Relationship Id="rId44" Type="http://schemas.openxmlformats.org/officeDocument/2006/relationships/hyperlink" Target="https://doi.org/10.1207/s15326942dn2802_7" TargetMode="External"/><Relationship Id="rId52" Type="http://schemas.openxmlformats.org/officeDocument/2006/relationships/hyperlink" Target="https://doi.org/10.1006/jecp.2001.2649" TargetMode="External"/><Relationship Id="rId60" Type="http://schemas.openxmlformats.org/officeDocument/2006/relationships/hyperlink" Target="https://doi.org/10.17239/L1ESLL-2013.01.10" TargetMode="External"/><Relationship Id="rId65" Type="http://schemas.openxmlformats.org/officeDocument/2006/relationships/hyperlink" Target="https://doi:10.1017/S0140525X16000960" TargetMode="External"/><Relationship Id="rId73" Type="http://schemas.openxmlformats.org/officeDocument/2006/relationships/hyperlink" Target="https://doi.org/10.1016/j.jecp.2006.02.002" TargetMode="External"/><Relationship Id="rId78" Type="http://schemas.openxmlformats.org/officeDocument/2006/relationships/hyperlink" Target="https://doi.org/10.1207/s15327647jcd0503_1" TargetMode="External"/><Relationship Id="rId81" Type="http://schemas.openxmlformats.org/officeDocument/2006/relationships/hyperlink" Target="https://doi.org/10.1016/j.jecp.2010.01.001" TargetMode="External"/><Relationship Id="rId86" Type="http://schemas.openxmlformats.org/officeDocument/2006/relationships/hyperlink" Target="https://doi.org/10.1093/oxfordhb/9780192849489.013.0012" TargetMode="External"/><Relationship Id="rId4" Type="http://schemas.openxmlformats.org/officeDocument/2006/relationships/webSettings" Target="webSettings.xml"/><Relationship Id="rId9" Type="http://schemas.openxmlformats.org/officeDocument/2006/relationships/hyperlink" Target="https://aspredicted.org/SJT_H7F" TargetMode="External"/><Relationship Id="rId13" Type="http://schemas.openxmlformats.org/officeDocument/2006/relationships/image" Target="media/image3.png"/><Relationship Id="rId18" Type="http://schemas.openxmlformats.org/officeDocument/2006/relationships/hyperlink" Target="https://aspredicted.org/DR4_B4B" TargetMode="External"/><Relationship Id="rId39" Type="http://schemas.openxmlformats.org/officeDocument/2006/relationships/hyperlink" Target="https://doi.org/10.1111/1467-8721.ep10772408" TargetMode="External"/><Relationship Id="rId34" Type="http://schemas.openxmlformats.org/officeDocument/2006/relationships/hyperlink" Target="https://doi.org/10.1080/01621459.1984.10478080" TargetMode="External"/><Relationship Id="rId50" Type="http://schemas.openxmlformats.org/officeDocument/2006/relationships/hyperlink" Target="https://doi.org/10.2307/1128356" TargetMode="External"/><Relationship Id="rId55" Type="http://schemas.openxmlformats.org/officeDocument/2006/relationships/hyperlink" Target="https://doi.org/10.2307/1130386" TargetMode="External"/><Relationship Id="rId76" Type="http://schemas.openxmlformats.org/officeDocument/2006/relationships/hyperlink" Target="https://doi.org/10.1016/j.jecp.2017.08.005" TargetMode="External"/><Relationship Id="rId7" Type="http://schemas.openxmlformats.org/officeDocument/2006/relationships/hyperlink" Target="https://doi.org/10.5281/zenodo.21894820" TargetMode="External"/><Relationship Id="rId71" Type="http://schemas.openxmlformats.org/officeDocument/2006/relationships/hyperlink" Target="https://doi.org/10.1016/j.cognition.2018.08.011"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doi.org/10.1016/S0885-2014(00)00026-5" TargetMode="External"/><Relationship Id="rId24" Type="http://schemas.openxmlformats.org/officeDocument/2006/relationships/hyperlink" Target="https://doi.org/10.1073/pnas.1904871116" TargetMode="External"/><Relationship Id="rId40" Type="http://schemas.openxmlformats.org/officeDocument/2006/relationships/hyperlink" Target="https://doi.org/10.1016/j.tics.2003.12.004" TargetMode="External"/><Relationship Id="rId45" Type="http://schemas.openxmlformats.org/officeDocument/2006/relationships/hyperlink" Target="https://doi.org/10.1080/17470210600625362" TargetMode="External"/><Relationship Id="rId66" Type="http://schemas.openxmlformats.org/officeDocument/2006/relationships/hyperlink" Target="https://psycnet.apa.org/doi/10.1037/xhp0000619" TargetMode="External"/><Relationship Id="rId87" Type="http://schemas.openxmlformats.org/officeDocument/2006/relationships/hyperlink" Target="https://doi.org/10.1111/cogs.13182" TargetMode="External"/><Relationship Id="rId61" Type="http://schemas.openxmlformats.org/officeDocument/2006/relationships/hyperlink" Target="https://doi.org/10.3109/13682829409041485" TargetMode="External"/><Relationship Id="rId82" Type="http://schemas.openxmlformats.org/officeDocument/2006/relationships/hyperlink" Target="https://doi.org/10.1111/j.1467-8624.1997.tb01985.x" TargetMode="External"/><Relationship Id="rId19" Type="http://schemas.openxmlformats.org/officeDocument/2006/relationships/hyperlink" Target="https://aspredicted.org/DR4_B4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12149</Words>
  <Characters>69250</Characters>
  <Application>Microsoft Office Word</Application>
  <DocSecurity>0</DocSecurity>
  <Lines>577</Lines>
  <Paragraphs>162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Young Children’s Spontaneous Comprehension of Symbol-Referent Relationships in the Graphic Domain</vt:lpstr>
      <vt:lpstr>Young Children’s Spontaneous Comprehension of Symbol-Referent Relationships in the Graphic Domain</vt:lpstr>
    </vt:vector>
  </TitlesOfParts>
  <Manager/>
  <Company/>
  <LinksUpToDate>false</LinksUpToDate>
  <CharactersWithSpaces>81237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Young Children’s Spontaneous Comprehension of Symbol-Referent Relationships in the Graphic Domain</dc:title>
  <dc:creator/>
  <cp:keywords/>
  <cp:lastModifiedBy>Gregor Kachel</cp:lastModifiedBy>
  <cp:revision>127</cp:revision>
  <dcterms:created xsi:type="dcterms:W3CDTF">2026-07-14T08:46:00Z</dcterms:created>
  <dcterms:modified xsi:type="dcterms:W3CDTF">2026-08-12T10:01:00Z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Ethics, consent and conflict of interest: The study obtained ethical clearance from the MPG Ethics Commission in Munich, Germany, falling under an umbrella ethics application (Appl. No. 2021_45). Informed consent has been obtained from all participants. The authors declare no conflict of interest.Scientific Integrity and Openness: The data and code necessary to reproduce the analyses presented here are publicly accessible, as are the materials necessary to attempt to replicate the findings. Analyses were pre-registered. For data, analyses materials, and preregistrations see: https://github.com/GregorKachel/symlit_rep_manuscript.Acknowledgments: We are thankful to Susanne Mauritz for her help in the organization of the study and to Valerie Jurgenson and Cynthia Pones for help with data collection. We would like to thank Anne Deiglmayr for hosting this project in her research group and for her continuous support. This research was supported by the Max Planck Society for the Advancement of Science. Gregor Kachel was supported by the German Research Foundation (Deutsche Forschungsgemeinschaft) under project number 429220405.</vt:lpwstr>
  </property>
  <property fmtid="{D5CDD505-2E9C-101B-9397-08002B2CF9AE}" pid="4" name="bibliography">
    <vt:lpwstr>library.bib</vt:lpwstr>
  </property>
  <property fmtid="{D5CDD505-2E9C-101B-9397-08002B2CF9AE}" pid="5" name="csl">
    <vt:lpwstr>C:\Users\Kachel.IPE-KACHEL-N\AppData\Local\R\win-library\4.6\papaja\rmd\apa6.csl</vt:lpwstr>
  </property>
  <property fmtid="{D5CDD505-2E9C-101B-9397-08002B2CF9AE}" pid="6" name="draft">
    <vt:lpwstr>False</vt:lpwstr>
  </property>
  <property fmtid="{D5CDD505-2E9C-101B-9397-08002B2CF9AE}" pid="7" name="editor_options">
    <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linenumbers">
    <vt:lpwstr>True</vt:lpwstr>
  </property>
  <property fmtid="{D5CDD505-2E9C-101B-9397-08002B2CF9AE}" pid="12" name="mask">
    <vt:lpwstr>True</vt:lpwstr>
  </property>
  <property fmtid="{D5CDD505-2E9C-101B-9397-08002B2CF9AE}" pid="13" name="note">
    <vt:lpwstr/>
  </property>
  <property fmtid="{D5CDD505-2E9C-101B-9397-08002B2CF9AE}" pid="14" name="output">
    <vt:lpwstr/>
  </property>
  <property fmtid="{D5CDD505-2E9C-101B-9397-08002B2CF9AE}" pid="15" name="shorttitle">
    <vt:lpwstr>Comprehension of Graphic Symbol-Referent Relationships</vt:lpwstr>
  </property>
  <property fmtid="{D5CDD505-2E9C-101B-9397-08002B2CF9AE}" pid="16" name="tablelist">
    <vt:lpwstr>False</vt:lpwstr>
  </property>
  <property fmtid="{D5CDD505-2E9C-101B-9397-08002B2CF9AE}" pid="17" name="wordcount">
    <vt:lpwstr>12.420</vt:lpwstr>
  </property>
</Properties>
</file>