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Malice Matrix studies in HLE R11</w:t>
      </w:r>
    </w:p>
    <w:p>
      <w:r>
        <w:t>Policy outcomes and attention costs in the current engine</w:t>
      </w:r>
    </w:p>
    <w:p>
      <w:r>
        <w:t>17 September 2026</w:t>
      </w:r>
    </w:p>
    <w:p>
      <w:r>
        <w:t>[machine-checked] R11 changes costs while preserving the tested policies' physical outcomes under ample resources. Every completed Produce ends at Fe, independently of sender type. Sender activity and receiver state affect reception costs. The already prepared organization admits the fourth member through a paid new agreement without requiring six additional practice runs.</w:t>
      </w:r>
    </w:p>
    <w:p>
      <w:r>
        <w:t>[bridge] This study evaluates a declared executable model of the Malice Matrix policies on R11, with the identical experiment on R10 as a controlled baseline. The supplied protocol, complete result data and pinned engines support reproduction of the current findings.</w:t>
      </w:r>
    </w:p>
    <w:p>
      <w:pPr>
        <w:pStyle w:val="Heading1"/>
      </w:pPr>
      <w:r>
        <w:t>Source and claim status</w:t>
      </w:r>
    </w:p>
    <w:p>
      <w:r>
        <w:t xml:space="preserve">[source_defined] The source is @unicorn.lo, </w:t>
      </w:r>
      <w:r>
        <w:rPr>
          <w:i/>
        </w:rPr>
        <w:t>The Malice Matrix: Game-Theoretic Containment of Systemic Defection</w:t>
      </w:r>
      <w:r>
        <w:t>, supplied as an undated DOCX. Its four responses are explanation without enforcement, individual retreat, emotional retaliation, and mechanical containment. Its displayed stability condition places the next consequence strictly above extracted utility. The document also explicitly describes redirection toward another available node and restoration after containment.</w:t>
      </w:r>
    </w:p>
    <w:p>
      <w:r>
        <w:t>[bridge] Source statements are represented by limited executable policies. “machine-checked” identifies observed simulation or arithmetic results; “derived” identifies deductions conditional on the code; “interpretive” identifies the proposed meaning of a result; “open” identifies an unestablished claim. These tags distinguish the source, the model and measured outcomes.</w:t>
      </w:r>
    </w:p>
    <w:p>
      <w:pPr>
        <w:pStyle w:val="Heading1"/>
      </w:pPr>
      <w:r>
        <w:t>Declared policy experiment</w:t>
      </w:r>
    </w:p>
    <w:p>
      <w:r>
        <w:t>[bridge] Three members, Alice LSE, Bob IEE and Cara LSI, operate a learned current-holder transfer cycle. Dara EII is initially outside the organization. All four begin with 20,000 energy and 20,000 time units. Preparation teaches the required vocabulary, establishes owned practice and obtains the first agreement. Preparation costs are retained separately.</w:t>
      </w:r>
    </w:p>
    <w:p>
      <w:r>
        <w:t>[bridge] During each of twelve assay rounds, Dara asks Alice, Bob and Cara once each. Requests express a supplied ownership condition and a transfer goal. Responders use their own fresh inspection and retained evidence. After the requests, the scheduled member Alice, Bob or Cara attempts the ordinary organization operation. This schedule never selects a worker using evaluator ownership.</w:t>
      </w:r>
    </w:p>
    <w:p>
      <w:r>
        <w:t>[bridge] Q1 reads, checks, replies and enacts an accepted transfer. Q2 gives Alice a free boundary filter while Bob and Cara use Q1; Alice retains her institutional role. Q3 reads, checks and replies, but declines the requested transfer. Its reply is an ordinary explanation with an inspection suggestion. Q4 filters all three recipients before paid reception. The filters are supplied, cost-free controls, with no learned detection process.</w:t>
      </w:r>
    </w:p>
    <w:p>
      <w:r>
        <w:t>[bridge] One delivered reply contributes one controller payoff unit and a fulfilled transfer contributes another. These are not energy credits. Dara stops after two consecutive whole rounds with zero payoff. This external rule neither models acquired malicious intent nor learns extinction. Q3 does not represent emotional cruelty; Q2 does not enact the paper's literal institutional departure. These choices define the experiment's scope relative to the paper's four responses.</w:t>
      </w:r>
    </w:p>
    <w:p>
      <w:pPr>
        <w:pStyle w:val="Heading1"/>
      </w:pPr>
      <w:r>
        <w:t>Policy outcomes and costs</w:t>
      </w:r>
    </w:p>
    <w:p>
      <w:r>
        <w:t>[machine-checked] The same declared experiment produced the following results on both releases. All amounts are energy debits; time debits are equal and were independently reconciled against journal work. Member totals combine Alice, Bob and Cara. Each case has twelve organization opportunities, including those after extraction stops. Setup and restoration are excluded.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2131"/>
        <w:gridCol w:w="1699"/>
        <w:gridCol w:w="1512"/>
        <w:gridCol w:w="1296"/>
        <w:gridCol w:w="1253"/>
      </w:tblGrid>
      <w:tr>
        <w:trPr>
          <w:cantSplit/>
          <w:tblHeader/>
        </w:trPr>
        <w:tc>
          <w:tcPr>
            <w:tcW w:type="dxa" w:w="2045"/>
            <w:vAlign w:val="center"/>
            <w:tcMar>
              <w:top w:w="65" w:type="dxa"/>
              <w:left w:w="85" w:type="dxa"/>
              <w:bottom w:w="65" w:type="dxa"/>
              <w:right w:w="85" w:type="dxa"/>
            </w:tcMar>
            <w:shd w:fill="E6EEF5"/>
          </w:tcPr>
          <w:p>
            <w:pPr>
              <w:spacing w:after="20" w:before="20" w:line="240" w:lineRule="auto"/>
              <w:jc w:val="left"/>
            </w:pPr>
            <w:r>
              <w:rPr>
                <w:b/>
                <w:color w:val="000000"/>
                <w:sz w:val="20"/>
              </w:rPr>
              <w:t>Policy</w:t>
            </w:r>
          </w:p>
        </w:tc>
        <w:tc>
          <w:tcPr>
            <w:tcW w:type="dxa" w:w="2131"/>
            <w:vAlign w:val="center"/>
            <w:tcMar>
              <w:top w:w="65" w:type="dxa"/>
              <w:left w:w="85" w:type="dxa"/>
              <w:bottom w:w="65" w:type="dxa"/>
              <w:right w:w="85" w:type="dxa"/>
            </w:tcMar>
            <w:shd w:fill="E6EEF5"/>
          </w:tcPr>
          <w:p>
            <w:pPr>
              <w:spacing w:after="20" w:before="20" w:line="240" w:lineRule="auto"/>
              <w:jc w:val="center"/>
            </w:pPr>
            <w:r>
              <w:rPr>
                <w:b/>
                <w:color w:val="000000"/>
                <w:sz w:val="20"/>
              </w:rPr>
              <w:t>Members R10 to R11</w:t>
            </w:r>
          </w:p>
        </w:tc>
        <w:tc>
          <w:tcPr>
            <w:tcW w:type="dxa" w:w="1699"/>
            <w:vAlign w:val="center"/>
            <w:tcMar>
              <w:top w:w="65" w:type="dxa"/>
              <w:left w:w="85" w:type="dxa"/>
              <w:bottom w:w="65" w:type="dxa"/>
              <w:right w:w="85" w:type="dxa"/>
            </w:tcMar>
            <w:shd w:fill="E6EEF5"/>
          </w:tcPr>
          <w:p>
            <w:pPr>
              <w:spacing w:after="20" w:before="20" w:line="240" w:lineRule="auto"/>
              <w:jc w:val="center"/>
            </w:pPr>
            <w:r>
              <w:rPr>
                <w:b/>
                <w:color w:val="000000"/>
                <w:sz w:val="20"/>
              </w:rPr>
              <w:t>Dara R10 to R11</w:t>
            </w:r>
          </w:p>
        </w:tc>
        <w:tc>
          <w:tcPr>
            <w:tcW w:type="dxa" w:w="1512"/>
            <w:vAlign w:val="center"/>
            <w:tcMar>
              <w:top w:w="65" w:type="dxa"/>
              <w:left w:w="85" w:type="dxa"/>
              <w:bottom w:w="65" w:type="dxa"/>
              <w:right w:w="85" w:type="dxa"/>
            </w:tcMar>
            <w:shd w:fill="E6EEF5"/>
          </w:tcPr>
          <w:p>
            <w:pPr>
              <w:spacing w:after="20" w:before="20" w:line="240" w:lineRule="auto"/>
              <w:jc w:val="center"/>
            </w:pPr>
            <w:r>
              <w:rPr>
                <w:b/>
                <w:color w:val="000000"/>
                <w:sz w:val="20"/>
              </w:rPr>
              <w:t>Organization runs</w:t>
            </w:r>
          </w:p>
        </w:tc>
        <w:tc>
          <w:tcPr>
            <w:tcW w:type="dxa" w:w="1296"/>
            <w:vAlign w:val="center"/>
            <w:tcMar>
              <w:top w:w="65" w:type="dxa"/>
              <w:left w:w="85" w:type="dxa"/>
              <w:bottom w:w="65" w:type="dxa"/>
              <w:right w:w="85" w:type="dxa"/>
            </w:tcMar>
            <w:shd w:fill="E6EEF5"/>
          </w:tcPr>
          <w:p>
            <w:pPr>
              <w:spacing w:after="20" w:before="20" w:line="240" w:lineRule="auto"/>
              <w:jc w:val="center"/>
            </w:pPr>
            <w:r>
              <w:rPr>
                <w:b/>
                <w:color w:val="000000"/>
                <w:sz w:val="20"/>
              </w:rPr>
              <w:t>Box at end</w:t>
            </w:r>
          </w:p>
        </w:tc>
        <w:tc>
          <w:tcPr>
            <w:tcW w:type="dxa" w:w="1253"/>
            <w:vAlign w:val="center"/>
            <w:tcMar>
              <w:top w:w="65" w:type="dxa"/>
              <w:left w:w="85" w:type="dxa"/>
              <w:bottom w:w="65" w:type="dxa"/>
              <w:right w:w="85" w:type="dxa"/>
            </w:tcMar>
            <w:shd w:fill="E6EEF5"/>
          </w:tcPr>
          <w:p>
            <w:pPr>
              <w:spacing w:after="20" w:before="20" w:line="240" w:lineRule="auto"/>
              <w:jc w:val="center"/>
            </w:pPr>
            <w:r>
              <w:rPr>
                <w:b/>
                <w:color w:val="000000"/>
                <w:sz w:val="20"/>
              </w:rPr>
              <w:t>Stop round</w:t>
            </w:r>
          </w:p>
        </w:tc>
      </w:tr>
      <w:tr>
        <w:trPr>
          <w:cantSplit/>
        </w:trPr>
        <w:tc>
          <w:tcPr>
            <w:tcW w:type="dxa" w:w="2045"/>
            <w:vAlign w:val="center"/>
            <w:tcMar>
              <w:top w:w="65" w:type="dxa"/>
              <w:left w:w="85" w:type="dxa"/>
              <w:bottom w:w="65" w:type="dxa"/>
              <w:right w:w="85" w:type="dxa"/>
            </w:tcMar>
          </w:tcPr>
          <w:p>
            <w:pPr>
              <w:spacing w:after="20" w:before="20" w:line="240" w:lineRule="auto"/>
              <w:jc w:val="left"/>
            </w:pPr>
            <w:r>
              <w:rPr>
                <w:b w:val="0"/>
                <w:color w:val="000000"/>
                <w:sz w:val="20"/>
              </w:rPr>
              <w:t>Q1 explain and yield</w:t>
            </w:r>
          </w:p>
        </w:tc>
        <w:tc>
          <w:tcPr>
            <w:tcW w:type="dxa" w:w="2131"/>
            <w:vAlign w:val="center"/>
            <w:tcMar>
              <w:top w:w="65" w:type="dxa"/>
              <w:left w:w="85" w:type="dxa"/>
              <w:bottom w:w="65" w:type="dxa"/>
              <w:right w:w="85" w:type="dxa"/>
            </w:tcMar>
          </w:tcPr>
          <w:p>
            <w:pPr>
              <w:spacing w:after="20" w:before="20" w:line="240" w:lineRule="auto"/>
              <w:jc w:val="center"/>
            </w:pPr>
            <w:r>
              <w:rPr>
                <w:b w:val="0"/>
                <w:color w:val="000000"/>
                <w:sz w:val="20"/>
              </w:rPr>
              <w:t>1226 to 2170</w:t>
            </w:r>
          </w:p>
        </w:tc>
        <w:tc>
          <w:tcPr>
            <w:tcW w:type="dxa" w:w="1699"/>
            <w:vAlign w:val="center"/>
            <w:tcMar>
              <w:top w:w="65" w:type="dxa"/>
              <w:left w:w="85" w:type="dxa"/>
              <w:bottom w:w="65" w:type="dxa"/>
              <w:right w:w="85" w:type="dxa"/>
            </w:tcMar>
          </w:tcPr>
          <w:p>
            <w:pPr>
              <w:spacing w:after="20" w:before="20" w:line="240" w:lineRule="auto"/>
              <w:jc w:val="center"/>
            </w:pPr>
            <w:r>
              <w:rPr>
                <w:b w:val="0"/>
                <w:color w:val="000000"/>
                <w:sz w:val="20"/>
              </w:rPr>
              <w:t>576 to 578</w:t>
            </w:r>
          </w:p>
        </w:tc>
        <w:tc>
          <w:tcPr>
            <w:tcW w:type="dxa" w:w="1512"/>
            <w:vAlign w:val="center"/>
            <w:tcMar>
              <w:top w:w="65" w:type="dxa"/>
              <w:left w:w="85" w:type="dxa"/>
              <w:bottom w:w="65" w:type="dxa"/>
              <w:right w:w="85" w:type="dxa"/>
            </w:tcMar>
          </w:tcPr>
          <w:p>
            <w:pPr>
              <w:spacing w:after="20" w:before="20" w:line="240" w:lineRule="auto"/>
              <w:jc w:val="center"/>
            </w:pPr>
            <w:r>
              <w:rPr>
                <w:b w:val="0"/>
                <w:color w:val="000000"/>
                <w:sz w:val="20"/>
              </w:rPr>
              <w:t>0 of 12</w:t>
            </w:r>
          </w:p>
        </w:tc>
        <w:tc>
          <w:tcPr>
            <w:tcW w:type="dxa" w:w="1296"/>
            <w:vAlign w:val="center"/>
            <w:tcMar>
              <w:top w:w="65" w:type="dxa"/>
              <w:left w:w="85" w:type="dxa"/>
              <w:bottom w:w="65" w:type="dxa"/>
              <w:right w:w="85" w:type="dxa"/>
            </w:tcMar>
          </w:tcPr>
          <w:p>
            <w:pPr>
              <w:spacing w:after="20" w:before="20" w:line="240" w:lineRule="auto"/>
              <w:jc w:val="center"/>
            </w:pPr>
            <w:r>
              <w:rPr>
                <w:b w:val="0"/>
                <w:color w:val="000000"/>
                <w:sz w:val="20"/>
              </w:rPr>
              <w:t>Dara</w:t>
            </w:r>
          </w:p>
        </w:tc>
        <w:tc>
          <w:tcPr>
            <w:tcW w:type="dxa" w:w="1253"/>
            <w:vAlign w:val="center"/>
            <w:tcMar>
              <w:top w:w="65" w:type="dxa"/>
              <w:left w:w="85" w:type="dxa"/>
              <w:bottom w:w="65" w:type="dxa"/>
              <w:right w:w="85" w:type="dxa"/>
            </w:tcMar>
          </w:tcPr>
          <w:p>
            <w:pPr>
              <w:spacing w:after="20" w:before="20" w:line="240" w:lineRule="auto"/>
              <w:jc w:val="center"/>
            </w:pPr>
            <w:r>
              <w:rPr>
                <w:b w:val="0"/>
                <w:color w:val="000000"/>
                <w:sz w:val="20"/>
              </w:rPr>
              <w:t>None</w:t>
            </w:r>
          </w:p>
        </w:tc>
      </w:tr>
      <w:tr>
        <w:trPr>
          <w:cantSplit/>
        </w:trPr>
        <w:tc>
          <w:tcPr>
            <w:tcW w:type="dxa" w:w="2045"/>
            <w:vAlign w:val="center"/>
            <w:tcMar>
              <w:top w:w="65" w:type="dxa"/>
              <w:left w:w="85" w:type="dxa"/>
              <w:bottom w:w="65" w:type="dxa"/>
              <w:right w:w="85" w:type="dxa"/>
            </w:tcMar>
            <w:shd w:fill="F5F7FA"/>
          </w:tcPr>
          <w:p>
            <w:pPr>
              <w:spacing w:after="20" w:before="20" w:line="240" w:lineRule="auto"/>
              <w:jc w:val="left"/>
            </w:pPr>
            <w:r>
              <w:rPr>
                <w:b w:val="0"/>
                <w:color w:val="000000"/>
                <w:sz w:val="20"/>
              </w:rPr>
              <w:t>Q2 Alice filters</w:t>
            </w:r>
          </w:p>
        </w:tc>
        <w:tc>
          <w:tcPr>
            <w:tcW w:type="dxa" w:w="2131"/>
            <w:vAlign w:val="center"/>
            <w:tcMar>
              <w:top w:w="65" w:type="dxa"/>
              <w:left w:w="85" w:type="dxa"/>
              <w:bottom w:w="65" w:type="dxa"/>
              <w:right w:w="85" w:type="dxa"/>
            </w:tcMar>
            <w:shd w:fill="F5F7FA"/>
          </w:tcPr>
          <w:p>
            <w:pPr>
              <w:spacing w:after="20" w:before="20" w:line="240" w:lineRule="auto"/>
              <w:jc w:val="center"/>
            </w:pPr>
            <w:r>
              <w:rPr>
                <w:b w:val="0"/>
                <w:color w:val="000000"/>
                <w:sz w:val="20"/>
              </w:rPr>
              <w:t>856 to 1507</w:t>
            </w:r>
          </w:p>
        </w:tc>
        <w:tc>
          <w:tcPr>
            <w:tcW w:type="dxa" w:w="1699"/>
            <w:vAlign w:val="center"/>
            <w:tcMar>
              <w:top w:w="65" w:type="dxa"/>
              <w:left w:w="85" w:type="dxa"/>
              <w:bottom w:w="65" w:type="dxa"/>
              <w:right w:w="85" w:type="dxa"/>
            </w:tcMar>
            <w:shd w:fill="F5F7FA"/>
          </w:tcPr>
          <w:p>
            <w:pPr>
              <w:spacing w:after="20" w:before="20" w:line="240" w:lineRule="auto"/>
              <w:jc w:val="center"/>
            </w:pPr>
            <w:r>
              <w:rPr>
                <w:b w:val="0"/>
                <w:color w:val="000000"/>
                <w:sz w:val="20"/>
              </w:rPr>
              <w:t>456 to 554</w:t>
            </w:r>
          </w:p>
        </w:tc>
        <w:tc>
          <w:tcPr>
            <w:tcW w:type="dxa" w:w="1512"/>
            <w:vAlign w:val="center"/>
            <w:tcMar>
              <w:top w:w="65" w:type="dxa"/>
              <w:left w:w="85" w:type="dxa"/>
              <w:bottom w:w="65" w:type="dxa"/>
              <w:right w:w="85" w:type="dxa"/>
            </w:tcMar>
            <w:shd w:fill="F5F7FA"/>
          </w:tcPr>
          <w:p>
            <w:pPr>
              <w:spacing w:after="20" w:before="20" w:line="240" w:lineRule="auto"/>
              <w:jc w:val="center"/>
            </w:pPr>
            <w:r>
              <w:rPr>
                <w:b w:val="0"/>
                <w:color w:val="000000"/>
                <w:sz w:val="20"/>
              </w:rPr>
              <w:t>1 of 12</w:t>
            </w:r>
          </w:p>
        </w:tc>
        <w:tc>
          <w:tcPr>
            <w:tcW w:type="dxa" w:w="1296"/>
            <w:vAlign w:val="center"/>
            <w:tcMar>
              <w:top w:w="65" w:type="dxa"/>
              <w:left w:w="85" w:type="dxa"/>
              <w:bottom w:w="65" w:type="dxa"/>
              <w:right w:w="85" w:type="dxa"/>
            </w:tcMar>
            <w:shd w:fill="F5F7FA"/>
          </w:tcPr>
          <w:p>
            <w:pPr>
              <w:spacing w:after="20" w:before="20" w:line="240" w:lineRule="auto"/>
              <w:jc w:val="center"/>
            </w:pPr>
            <w:r>
              <w:rPr>
                <w:b w:val="0"/>
                <w:color w:val="000000"/>
                <w:sz w:val="20"/>
              </w:rPr>
              <w:t>Dara</w:t>
            </w:r>
          </w:p>
        </w:tc>
        <w:tc>
          <w:tcPr>
            <w:tcW w:type="dxa" w:w="1253"/>
            <w:vAlign w:val="center"/>
            <w:tcMar>
              <w:top w:w="65" w:type="dxa"/>
              <w:left w:w="85" w:type="dxa"/>
              <w:bottom w:w="65" w:type="dxa"/>
              <w:right w:w="85" w:type="dxa"/>
            </w:tcMar>
            <w:shd w:fill="F5F7FA"/>
          </w:tcPr>
          <w:p>
            <w:pPr>
              <w:spacing w:after="20" w:before="20" w:line="240" w:lineRule="auto"/>
              <w:jc w:val="center"/>
            </w:pPr>
            <w:r>
              <w:rPr>
                <w:b w:val="0"/>
                <w:color w:val="000000"/>
                <w:sz w:val="20"/>
              </w:rPr>
              <w:t>None</w:t>
            </w:r>
          </w:p>
        </w:tc>
      </w:tr>
      <w:tr>
        <w:trPr>
          <w:cantSplit/>
        </w:trPr>
        <w:tc>
          <w:tcPr>
            <w:tcW w:type="dxa" w:w="2045"/>
            <w:vAlign w:val="center"/>
            <w:tcMar>
              <w:top w:w="65" w:type="dxa"/>
              <w:left w:w="85" w:type="dxa"/>
              <w:bottom w:w="65" w:type="dxa"/>
              <w:right w:w="85" w:type="dxa"/>
            </w:tcMar>
          </w:tcPr>
          <w:p>
            <w:pPr>
              <w:spacing w:after="20" w:before="20" w:line="240" w:lineRule="auto"/>
              <w:jc w:val="left"/>
            </w:pPr>
            <w:r>
              <w:rPr>
                <w:b w:val="0"/>
                <w:color w:val="000000"/>
                <w:sz w:val="20"/>
              </w:rPr>
              <w:t>Q3 reply and refuse</w:t>
            </w:r>
          </w:p>
        </w:tc>
        <w:tc>
          <w:tcPr>
            <w:tcW w:type="dxa" w:w="2131"/>
            <w:vAlign w:val="center"/>
            <w:tcMar>
              <w:top w:w="65" w:type="dxa"/>
              <w:left w:w="85" w:type="dxa"/>
              <w:bottom w:w="65" w:type="dxa"/>
              <w:right w:w="85" w:type="dxa"/>
            </w:tcMar>
          </w:tcPr>
          <w:p>
            <w:pPr>
              <w:spacing w:after="20" w:before="20" w:line="240" w:lineRule="auto"/>
              <w:jc w:val="center"/>
            </w:pPr>
            <w:r>
              <w:rPr>
                <w:b w:val="0"/>
                <w:color w:val="000000"/>
                <w:sz w:val="20"/>
              </w:rPr>
              <w:t>1248 to 2192</w:t>
            </w:r>
          </w:p>
        </w:tc>
        <w:tc>
          <w:tcPr>
            <w:tcW w:type="dxa" w:w="1699"/>
            <w:vAlign w:val="center"/>
            <w:tcMar>
              <w:top w:w="65" w:type="dxa"/>
              <w:left w:w="85" w:type="dxa"/>
              <w:bottom w:w="65" w:type="dxa"/>
              <w:right w:w="85" w:type="dxa"/>
            </w:tcMar>
          </w:tcPr>
          <w:p>
            <w:pPr>
              <w:spacing w:after="20" w:before="20" w:line="240" w:lineRule="auto"/>
              <w:jc w:val="center"/>
            </w:pPr>
            <w:r>
              <w:rPr>
                <w:b w:val="0"/>
                <w:color w:val="000000"/>
                <w:sz w:val="20"/>
              </w:rPr>
              <w:t>576 to 578</w:t>
            </w:r>
          </w:p>
        </w:tc>
        <w:tc>
          <w:tcPr>
            <w:tcW w:type="dxa" w:w="1512"/>
            <w:vAlign w:val="center"/>
            <w:tcMar>
              <w:top w:w="65" w:type="dxa"/>
              <w:left w:w="85" w:type="dxa"/>
              <w:bottom w:w="65" w:type="dxa"/>
              <w:right w:w="85" w:type="dxa"/>
            </w:tcMar>
          </w:tcPr>
          <w:p>
            <w:pPr>
              <w:spacing w:after="20" w:before="20" w:line="240" w:lineRule="auto"/>
              <w:jc w:val="center"/>
            </w:pPr>
            <w:r>
              <w:rPr>
                <w:b w:val="0"/>
                <w:color w:val="000000"/>
                <w:sz w:val="20"/>
              </w:rPr>
              <w:t>12 of 12</w:t>
            </w:r>
          </w:p>
        </w:tc>
        <w:tc>
          <w:tcPr>
            <w:tcW w:type="dxa" w:w="1296"/>
            <w:vAlign w:val="center"/>
            <w:tcMar>
              <w:top w:w="65" w:type="dxa"/>
              <w:left w:w="85" w:type="dxa"/>
              <w:bottom w:w="65" w:type="dxa"/>
              <w:right w:w="85" w:type="dxa"/>
            </w:tcMar>
          </w:tcPr>
          <w:p>
            <w:pPr>
              <w:spacing w:after="20" w:before="20" w:line="240" w:lineRule="auto"/>
              <w:jc w:val="center"/>
            </w:pPr>
            <w:r>
              <w:rPr>
                <w:b w:val="0"/>
                <w:color w:val="000000"/>
                <w:sz w:val="20"/>
              </w:rPr>
              <w:t>Alice</w:t>
            </w:r>
          </w:p>
        </w:tc>
        <w:tc>
          <w:tcPr>
            <w:tcW w:type="dxa" w:w="1253"/>
            <w:vAlign w:val="center"/>
            <w:tcMar>
              <w:top w:w="65" w:type="dxa"/>
              <w:left w:w="85" w:type="dxa"/>
              <w:bottom w:w="65" w:type="dxa"/>
              <w:right w:w="85" w:type="dxa"/>
            </w:tcMar>
          </w:tcPr>
          <w:p>
            <w:pPr>
              <w:spacing w:after="20" w:before="20" w:line="240" w:lineRule="auto"/>
              <w:jc w:val="center"/>
            </w:pPr>
            <w:r>
              <w:rPr>
                <w:b w:val="0"/>
                <w:color w:val="000000"/>
                <w:sz w:val="20"/>
              </w:rPr>
              <w:t>None</w:t>
            </w:r>
          </w:p>
        </w:tc>
      </w:tr>
      <w:tr>
        <w:trPr>
          <w:cantSplit/>
        </w:trPr>
        <w:tc>
          <w:tcPr>
            <w:tcW w:type="dxa" w:w="2045"/>
            <w:vAlign w:val="center"/>
            <w:tcMar>
              <w:top w:w="65" w:type="dxa"/>
              <w:left w:w="85" w:type="dxa"/>
              <w:bottom w:w="65" w:type="dxa"/>
              <w:right w:w="85" w:type="dxa"/>
            </w:tcMar>
            <w:shd w:fill="F5F7FA"/>
          </w:tcPr>
          <w:p>
            <w:pPr>
              <w:spacing w:after="20" w:before="20" w:line="240" w:lineRule="auto"/>
              <w:jc w:val="left"/>
            </w:pPr>
            <w:r>
              <w:rPr>
                <w:b w:val="0"/>
                <w:color w:val="000000"/>
                <w:sz w:val="20"/>
              </w:rPr>
              <w:t>Q4 all filter</w:t>
            </w:r>
          </w:p>
        </w:tc>
        <w:tc>
          <w:tcPr>
            <w:tcW w:type="dxa" w:w="2131"/>
            <w:vAlign w:val="center"/>
            <w:tcMar>
              <w:top w:w="65" w:type="dxa"/>
              <w:left w:w="85" w:type="dxa"/>
              <w:bottom w:w="65" w:type="dxa"/>
              <w:right w:w="85" w:type="dxa"/>
            </w:tcMar>
            <w:shd w:fill="F5F7FA"/>
          </w:tcPr>
          <w:p>
            <w:pPr>
              <w:spacing w:after="20" w:before="20" w:line="240" w:lineRule="auto"/>
              <w:jc w:val="center"/>
            </w:pPr>
            <w:r>
              <w:rPr>
                <w:b w:val="0"/>
                <w:color w:val="000000"/>
                <w:sz w:val="20"/>
              </w:rPr>
              <w:t>156 to 239</w:t>
            </w:r>
          </w:p>
        </w:tc>
        <w:tc>
          <w:tcPr>
            <w:tcW w:type="dxa" w:w="1699"/>
            <w:vAlign w:val="center"/>
            <w:tcMar>
              <w:top w:w="65" w:type="dxa"/>
              <w:left w:w="85" w:type="dxa"/>
              <w:bottom w:w="65" w:type="dxa"/>
              <w:right w:w="85" w:type="dxa"/>
            </w:tcMar>
            <w:shd w:fill="F5F7FA"/>
          </w:tcPr>
          <w:p>
            <w:pPr>
              <w:spacing w:after="20" w:before="20" w:line="240" w:lineRule="auto"/>
              <w:jc w:val="center"/>
            </w:pPr>
            <w:r>
              <w:rPr>
                <w:b w:val="0"/>
                <w:color w:val="000000"/>
                <w:sz w:val="20"/>
              </w:rPr>
              <w:t>36 to 86</w:t>
            </w:r>
          </w:p>
        </w:tc>
        <w:tc>
          <w:tcPr>
            <w:tcW w:type="dxa" w:w="1512"/>
            <w:vAlign w:val="center"/>
            <w:tcMar>
              <w:top w:w="65" w:type="dxa"/>
              <w:left w:w="85" w:type="dxa"/>
              <w:bottom w:w="65" w:type="dxa"/>
              <w:right w:w="85" w:type="dxa"/>
            </w:tcMar>
            <w:shd w:fill="F5F7FA"/>
          </w:tcPr>
          <w:p>
            <w:pPr>
              <w:spacing w:after="20" w:before="20" w:line="240" w:lineRule="auto"/>
              <w:jc w:val="center"/>
            </w:pPr>
            <w:r>
              <w:rPr>
                <w:b w:val="0"/>
                <w:color w:val="000000"/>
                <w:sz w:val="20"/>
              </w:rPr>
              <w:t>12 of 12</w:t>
            </w:r>
          </w:p>
        </w:tc>
        <w:tc>
          <w:tcPr>
            <w:tcW w:type="dxa" w:w="1296"/>
            <w:vAlign w:val="center"/>
            <w:tcMar>
              <w:top w:w="65" w:type="dxa"/>
              <w:left w:w="85" w:type="dxa"/>
              <w:bottom w:w="65" w:type="dxa"/>
              <w:right w:w="85" w:type="dxa"/>
            </w:tcMar>
            <w:shd w:fill="F5F7FA"/>
          </w:tcPr>
          <w:p>
            <w:pPr>
              <w:spacing w:after="20" w:before="20" w:line="240" w:lineRule="auto"/>
              <w:jc w:val="center"/>
            </w:pPr>
            <w:r>
              <w:rPr>
                <w:b w:val="0"/>
                <w:color w:val="000000"/>
                <w:sz w:val="20"/>
              </w:rPr>
              <w:t>Alice</w:t>
            </w:r>
          </w:p>
        </w:tc>
        <w:tc>
          <w:tcPr>
            <w:tcW w:type="dxa" w:w="1253"/>
            <w:vAlign w:val="center"/>
            <w:tcMar>
              <w:top w:w="65" w:type="dxa"/>
              <w:left w:w="85" w:type="dxa"/>
              <w:bottom w:w="65" w:type="dxa"/>
              <w:right w:w="85" w:type="dxa"/>
            </w:tcMar>
            <w:shd w:fill="F5F7FA"/>
          </w:tcPr>
          <w:p>
            <w:pPr>
              <w:spacing w:after="20" w:before="20" w:line="240" w:lineRule="auto"/>
              <w:jc w:val="center"/>
            </w:pPr>
            <w:r>
              <w:rPr>
                <w:b w:val="0"/>
                <w:color w:val="000000"/>
                <w:sz w:val="20"/>
              </w:rPr>
              <w:t>2</w:t>
            </w:r>
          </w:p>
        </w:tc>
      </w:tr>
    </w:tbl>
    <w:p>
      <w:pPr>
        <w:spacing w:after="0"/>
      </w:pPr>
    </w:p>
    <w:p>
      <w:r>
        <w:t>[machine-checked] R11 member debits, in Alice/Bob/Cara order, are Q1 741/736/693; Q2 76/738/693; Q3 747/744/701; Q4 82/79/78. Q1 and Q2 each transfer the single box to Dara once. Q1 and Q3 generate 36 replies; Q2 generates 24. Continued asking after the first acquisition reflects the supplied attention payoff and does not represent repeated material acquisition.</w:t>
      </w:r>
    </w:p>
    <w:p>
      <w:r>
        <w:t>[machine-checked] Q1 spends only two member units on the yielded transfer. Reading costs 228, fresh evidence acquisition 288, interpretation 708, reply production and sending 708, and ordinary organization work 236. Reading plus interpretation is 936 of 2170. Including evidence acquisition gives 1224 of 2170, more than half of the total member cost.</w:t>
      </w:r>
    </w:p>
    <w:p>
      <w:r>
        <w:t>[machine-checked] Every one of the seven incomplete refusal subsets permits a material transfer within the horizon; complete refusal prevents it. Which member remains available changes the number of organization runs completed before the transfer. Q4 members spend exactly the same amounts as the quiet organization baseline. Its modeled marginal filtering cost is zero, but ordinary organization work is paid. Unread deliveries remain in the engine's growing notification history; storage and classification costs are not priced by this controller.</w:t>
      </w:r>
    </w:p>
    <w:p>
      <w:r>
        <w:t>[derived] Under the supplied payoff and stopping rule, full refusal necessarily produces the stop. Setting patience to one or four moves the stop to round one or four. The experiment measures execution costs and access consequences; it does not independently demonstrate learned extinction or the paper's utility inequality. Coverage is already recognized in the source's available-node discussion, so presenting it as an omitted constant would overstate this extension.</w:t>
      </w:r>
    </w:p>
    <w:p>
      <w:pPr>
        <w:pStyle w:val="Heading1"/>
      </w:pPr>
      <w:r>
        <w:t>Attention by activity and type</w:t>
      </w:r>
    </w:p>
    <w:p>
      <w:r>
        <w:t>[machine-checked] R11 maps operation targets to semantic elements: Learn and Interpret target Ti, Produce targets Fe, and Perform targets Te. The included active-element regression probe distinguishes this behavior from R10. The empirical attention panel measures the attained element and reception cost directly.</w:t>
      </w:r>
    </w:p>
    <w:p>
      <w:r>
        <w:t>[derived] Reception preserves the emitted element when translating between Model A frames. Once the emitted element, receiver type, receiver activity and pricing policy are fixed, changing sender type alone cannot change the target element or receiver route. A relation name remains a coordinate description; it does not specify a context-independent attention tariff.</w:t>
      </w:r>
    </w:p>
    <w:p>
      <w:r>
        <w:t>[machine-checked] Across 256 type pairs, the matched receiver starts at Ti after Learn in R11. Produce ends at Fe for every sender. Its initial production cost varies from 6 to 29 units; reading ranges from 2 to 11 and interpretation from 8 to 35. For a fixed receiver, the reading charge is identical across all sixteen senders.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2880"/>
        <w:gridCol w:w="3312"/>
      </w:tblGrid>
      <w:tr>
        <w:trPr>
          <w:cantSplit/>
          <w:tblHeader/>
        </w:trPr>
        <w:tc>
          <w:tcPr>
            <w:tcW w:type="dxa" w:w="3744"/>
            <w:vAlign w:val="center"/>
            <w:tcMar>
              <w:top w:w="65" w:type="dxa"/>
              <w:left w:w="85" w:type="dxa"/>
              <w:bottom w:w="65" w:type="dxa"/>
              <w:right w:w="85" w:type="dxa"/>
            </w:tcMar>
            <w:shd w:fill="E6EEF5"/>
          </w:tcPr>
          <w:p>
            <w:pPr>
              <w:spacing w:after="20" w:before="20" w:line="240" w:lineRule="auto"/>
              <w:jc w:val="left"/>
            </w:pPr>
            <w:r>
              <w:rPr>
                <w:b/>
                <w:color w:val="000000"/>
                <w:sz w:val="20"/>
              </w:rPr>
              <w:t>R11 receiver types</w:t>
            </w:r>
          </w:p>
        </w:tc>
        <w:tc>
          <w:tcPr>
            <w:tcW w:type="dxa" w:w="2880"/>
            <w:vAlign w:val="center"/>
            <w:tcMar>
              <w:top w:w="65" w:type="dxa"/>
              <w:left w:w="85" w:type="dxa"/>
              <w:bottom w:w="65" w:type="dxa"/>
              <w:right w:w="85" w:type="dxa"/>
            </w:tcMar>
            <w:shd w:fill="E6EEF5"/>
          </w:tcPr>
          <w:p>
            <w:pPr>
              <w:spacing w:after="20" w:before="20" w:line="240" w:lineRule="auto"/>
              <w:jc w:val="center"/>
            </w:pPr>
            <w:r>
              <w:rPr>
                <w:b/>
                <w:color w:val="000000"/>
                <w:sz w:val="20"/>
              </w:rPr>
              <w:t>Read Fe from Ti</w:t>
            </w:r>
          </w:p>
        </w:tc>
        <w:tc>
          <w:tcPr>
            <w:tcW w:type="dxa" w:w="3312"/>
            <w:vAlign w:val="center"/>
            <w:tcMar>
              <w:top w:w="65" w:type="dxa"/>
              <w:left w:w="85" w:type="dxa"/>
              <w:bottom w:w="65" w:type="dxa"/>
              <w:right w:w="85" w:type="dxa"/>
            </w:tcMar>
            <w:shd w:fill="E6EEF5"/>
          </w:tcPr>
          <w:p>
            <w:pPr>
              <w:spacing w:after="20" w:before="20" w:line="240" w:lineRule="auto"/>
              <w:jc w:val="center"/>
            </w:pPr>
            <w:r>
              <w:rPr>
                <w:b/>
                <w:color w:val="000000"/>
                <w:sz w:val="20"/>
              </w:rPr>
              <w:t>Interpret request</w:t>
            </w:r>
          </w:p>
        </w:tc>
      </w:tr>
      <w:tr>
        <w:trPr>
          <w:cantSplit/>
        </w:trPr>
        <w:tc>
          <w:tcPr>
            <w:tcW w:type="dxa" w:w="3744"/>
            <w:vAlign w:val="center"/>
            <w:tcMar>
              <w:top w:w="65" w:type="dxa"/>
              <w:left w:w="85" w:type="dxa"/>
              <w:bottom w:w="65" w:type="dxa"/>
              <w:right w:w="85" w:type="dxa"/>
            </w:tcMar>
          </w:tcPr>
          <w:p>
            <w:pPr>
              <w:spacing w:after="20" w:before="20" w:line="240" w:lineRule="auto"/>
              <w:jc w:val="left"/>
            </w:pPr>
            <w:r>
              <w:rPr>
                <w:b w:val="0"/>
                <w:color w:val="000000"/>
                <w:sz w:val="20"/>
              </w:rPr>
              <w:t>EIE and ESE</w:t>
            </w:r>
          </w:p>
        </w:tc>
        <w:tc>
          <w:tcPr>
            <w:tcW w:type="dxa" w:w="2880"/>
            <w:vAlign w:val="center"/>
            <w:tcMar>
              <w:top w:w="65" w:type="dxa"/>
              <w:left w:w="85" w:type="dxa"/>
              <w:bottom w:w="65" w:type="dxa"/>
              <w:right w:w="85" w:type="dxa"/>
            </w:tcMar>
          </w:tcPr>
          <w:p>
            <w:pPr>
              <w:spacing w:after="20" w:before="20" w:line="240" w:lineRule="auto"/>
              <w:jc w:val="center"/>
            </w:pPr>
            <w:r>
              <w:rPr>
                <w:b w:val="0"/>
                <w:color w:val="000000"/>
                <w:sz w:val="20"/>
              </w:rPr>
              <w:t>2</w:t>
            </w:r>
          </w:p>
        </w:tc>
        <w:tc>
          <w:tcPr>
            <w:tcW w:type="dxa" w:w="3312"/>
            <w:vAlign w:val="center"/>
            <w:tcMar>
              <w:top w:w="65" w:type="dxa"/>
              <w:left w:w="85" w:type="dxa"/>
              <w:bottom w:w="65" w:type="dxa"/>
              <w:right w:w="85" w:type="dxa"/>
            </w:tcMar>
          </w:tcPr>
          <w:p>
            <w:pPr>
              <w:spacing w:after="20" w:before="20" w:line="240" w:lineRule="auto"/>
              <w:jc w:val="center"/>
            </w:pPr>
            <w:r>
              <w:rPr>
                <w:b w:val="0"/>
                <w:color w:val="000000"/>
                <w:sz w:val="20"/>
              </w:rPr>
              <w:t>32</w:t>
            </w:r>
          </w:p>
        </w:tc>
      </w:tr>
      <w:tr>
        <w:trPr>
          <w:cantSplit/>
        </w:trPr>
        <w:tc>
          <w:tcPr>
            <w:tcW w:type="dxa" w:w="3744"/>
            <w:vAlign w:val="center"/>
            <w:tcMar>
              <w:top w:w="65" w:type="dxa"/>
              <w:left w:w="85" w:type="dxa"/>
              <w:bottom w:w="65" w:type="dxa"/>
              <w:right w:w="85" w:type="dxa"/>
            </w:tcMar>
            <w:shd w:fill="F5F7FA"/>
          </w:tcPr>
          <w:p>
            <w:pPr>
              <w:spacing w:after="20" w:before="20" w:line="240" w:lineRule="auto"/>
              <w:jc w:val="left"/>
            </w:pPr>
            <w:r>
              <w:rPr>
                <w:b w:val="0"/>
                <w:color w:val="000000"/>
                <w:sz w:val="20"/>
              </w:rPr>
              <w:t>EII and ESI</w:t>
            </w:r>
          </w:p>
        </w:tc>
        <w:tc>
          <w:tcPr>
            <w:tcW w:type="dxa" w:w="2880"/>
            <w:vAlign w:val="center"/>
            <w:tcMar>
              <w:top w:w="65" w:type="dxa"/>
              <w:left w:w="85" w:type="dxa"/>
              <w:bottom w:w="65" w:type="dxa"/>
              <w:right w:w="85" w:type="dxa"/>
            </w:tcMar>
            <w:shd w:fill="F5F7FA"/>
          </w:tcPr>
          <w:p>
            <w:pPr>
              <w:spacing w:after="20" w:before="20" w:line="240" w:lineRule="auto"/>
              <w:jc w:val="center"/>
            </w:pPr>
            <w:r>
              <w:rPr>
                <w:b w:val="0"/>
                <w:color w:val="000000"/>
                <w:sz w:val="20"/>
              </w:rPr>
              <w:t>4</w:t>
            </w:r>
          </w:p>
        </w:tc>
        <w:tc>
          <w:tcPr>
            <w:tcW w:type="dxa" w:w="3312"/>
            <w:vAlign w:val="center"/>
            <w:tcMar>
              <w:top w:w="65" w:type="dxa"/>
              <w:left w:w="85" w:type="dxa"/>
              <w:bottom w:w="65" w:type="dxa"/>
              <w:right w:w="85" w:type="dxa"/>
            </w:tcMar>
            <w:shd w:fill="F5F7FA"/>
          </w:tcPr>
          <w:p>
            <w:pPr>
              <w:spacing w:after="20" w:before="20" w:line="240" w:lineRule="auto"/>
              <w:jc w:val="center"/>
            </w:pPr>
            <w:r>
              <w:rPr>
                <w:b w:val="0"/>
                <w:color w:val="000000"/>
                <w:sz w:val="20"/>
              </w:rPr>
              <w:t>24</w:t>
            </w:r>
          </w:p>
        </w:tc>
      </w:tr>
      <w:tr>
        <w:trPr>
          <w:cantSplit/>
        </w:trPr>
        <w:tc>
          <w:tcPr>
            <w:tcW w:type="dxa" w:w="3744"/>
            <w:vAlign w:val="center"/>
            <w:tcMar>
              <w:top w:w="65" w:type="dxa"/>
              <w:left w:w="85" w:type="dxa"/>
              <w:bottom w:w="65" w:type="dxa"/>
              <w:right w:w="85" w:type="dxa"/>
            </w:tcMar>
          </w:tcPr>
          <w:p>
            <w:pPr>
              <w:spacing w:after="20" w:before="20" w:line="240" w:lineRule="auto"/>
              <w:jc w:val="left"/>
            </w:pPr>
            <w:r>
              <w:rPr>
                <w:b w:val="0"/>
                <w:color w:val="000000"/>
                <w:sz w:val="20"/>
              </w:rPr>
              <w:t>IEE and SEE</w:t>
            </w:r>
          </w:p>
        </w:tc>
        <w:tc>
          <w:tcPr>
            <w:tcW w:type="dxa" w:w="2880"/>
            <w:vAlign w:val="center"/>
            <w:tcMar>
              <w:top w:w="65" w:type="dxa"/>
              <w:left w:w="85" w:type="dxa"/>
              <w:bottom w:w="65" w:type="dxa"/>
              <w:right w:w="85" w:type="dxa"/>
            </w:tcMar>
          </w:tcPr>
          <w:p>
            <w:pPr>
              <w:spacing w:after="20" w:before="20" w:line="240" w:lineRule="auto"/>
              <w:jc w:val="center"/>
            </w:pPr>
            <w:r>
              <w:rPr>
                <w:b w:val="0"/>
                <w:color w:val="000000"/>
                <w:sz w:val="20"/>
              </w:rPr>
              <w:t>5</w:t>
            </w:r>
          </w:p>
        </w:tc>
        <w:tc>
          <w:tcPr>
            <w:tcW w:type="dxa" w:w="3312"/>
            <w:vAlign w:val="center"/>
            <w:tcMar>
              <w:top w:w="65" w:type="dxa"/>
              <w:left w:w="85" w:type="dxa"/>
              <w:bottom w:w="65" w:type="dxa"/>
              <w:right w:w="85" w:type="dxa"/>
            </w:tcMar>
          </w:tcPr>
          <w:p>
            <w:pPr>
              <w:spacing w:after="20" w:before="20" w:line="240" w:lineRule="auto"/>
              <w:jc w:val="center"/>
            </w:pPr>
            <w:r>
              <w:rPr>
                <w:b w:val="0"/>
                <w:color w:val="000000"/>
                <w:sz w:val="20"/>
              </w:rPr>
              <w:t>35</w:t>
            </w:r>
          </w:p>
        </w:tc>
      </w:tr>
      <w:tr>
        <w:trPr>
          <w:cantSplit/>
        </w:trPr>
        <w:tc>
          <w:tcPr>
            <w:tcW w:type="dxa" w:w="3744"/>
            <w:vAlign w:val="center"/>
            <w:tcMar>
              <w:top w:w="65" w:type="dxa"/>
              <w:left w:w="85" w:type="dxa"/>
              <w:bottom w:w="65" w:type="dxa"/>
              <w:right w:w="85" w:type="dxa"/>
            </w:tcMar>
            <w:shd w:fill="F5F7FA"/>
          </w:tcPr>
          <w:p>
            <w:pPr>
              <w:spacing w:after="20" w:before="20" w:line="240" w:lineRule="auto"/>
              <w:jc w:val="left"/>
            </w:pPr>
            <w:r>
              <w:rPr>
                <w:b w:val="0"/>
                <w:color w:val="000000"/>
                <w:sz w:val="20"/>
              </w:rPr>
              <w:t>IEI and SEI</w:t>
            </w:r>
          </w:p>
        </w:tc>
        <w:tc>
          <w:tcPr>
            <w:tcW w:type="dxa" w:w="2880"/>
            <w:vAlign w:val="center"/>
            <w:tcMar>
              <w:top w:w="65" w:type="dxa"/>
              <w:left w:w="85" w:type="dxa"/>
              <w:bottom w:w="65" w:type="dxa"/>
              <w:right w:w="85" w:type="dxa"/>
            </w:tcMar>
            <w:shd w:fill="F5F7FA"/>
          </w:tcPr>
          <w:p>
            <w:pPr>
              <w:spacing w:after="20" w:before="20" w:line="240" w:lineRule="auto"/>
              <w:jc w:val="center"/>
            </w:pPr>
            <w:r>
              <w:rPr>
                <w:b w:val="0"/>
                <w:color w:val="000000"/>
                <w:sz w:val="20"/>
              </w:rPr>
              <w:t>9</w:t>
            </w:r>
          </w:p>
        </w:tc>
        <w:tc>
          <w:tcPr>
            <w:tcW w:type="dxa" w:w="3312"/>
            <w:vAlign w:val="center"/>
            <w:tcMar>
              <w:top w:w="65" w:type="dxa"/>
              <w:left w:w="85" w:type="dxa"/>
              <w:bottom w:w="65" w:type="dxa"/>
              <w:right w:w="85" w:type="dxa"/>
            </w:tcMar>
            <w:shd w:fill="F5F7FA"/>
          </w:tcPr>
          <w:p>
            <w:pPr>
              <w:spacing w:after="20" w:before="20" w:line="240" w:lineRule="auto"/>
              <w:jc w:val="center"/>
            </w:pPr>
            <w:r>
              <w:rPr>
                <w:b w:val="0"/>
                <w:color w:val="000000"/>
                <w:sz w:val="20"/>
              </w:rPr>
              <w:t>29</w:t>
            </w:r>
          </w:p>
        </w:tc>
      </w:tr>
      <w:tr>
        <w:trPr>
          <w:cantSplit/>
        </w:trPr>
        <w:tc>
          <w:tcPr>
            <w:tcW w:type="dxa" w:w="3744"/>
            <w:vAlign w:val="center"/>
            <w:tcMar>
              <w:top w:w="65" w:type="dxa"/>
              <w:left w:w="85" w:type="dxa"/>
              <w:bottom w:w="65" w:type="dxa"/>
              <w:right w:w="85" w:type="dxa"/>
            </w:tcMar>
          </w:tcPr>
          <w:p>
            <w:pPr>
              <w:spacing w:after="20" w:before="20" w:line="240" w:lineRule="auto"/>
              <w:jc w:val="left"/>
            </w:pPr>
            <w:r>
              <w:rPr>
                <w:b w:val="0"/>
                <w:color w:val="000000"/>
                <w:sz w:val="20"/>
              </w:rPr>
              <w:t>ILE and SLE</w:t>
            </w:r>
          </w:p>
        </w:tc>
        <w:tc>
          <w:tcPr>
            <w:tcW w:type="dxa" w:w="2880"/>
            <w:vAlign w:val="center"/>
            <w:tcMar>
              <w:top w:w="65" w:type="dxa"/>
              <w:left w:w="85" w:type="dxa"/>
              <w:bottom w:w="65" w:type="dxa"/>
              <w:right w:w="85" w:type="dxa"/>
            </w:tcMar>
          </w:tcPr>
          <w:p>
            <w:pPr>
              <w:spacing w:after="20" w:before="20" w:line="240" w:lineRule="auto"/>
              <w:jc w:val="center"/>
            </w:pPr>
            <w:r>
              <w:rPr>
                <w:b w:val="0"/>
                <w:color w:val="000000"/>
                <w:sz w:val="20"/>
              </w:rPr>
              <w:t>11</w:t>
            </w:r>
          </w:p>
        </w:tc>
        <w:tc>
          <w:tcPr>
            <w:tcW w:type="dxa" w:w="3312"/>
            <w:vAlign w:val="center"/>
            <w:tcMar>
              <w:top w:w="65" w:type="dxa"/>
              <w:left w:w="85" w:type="dxa"/>
              <w:bottom w:w="65" w:type="dxa"/>
              <w:right w:w="85" w:type="dxa"/>
            </w:tcMar>
          </w:tcPr>
          <w:p>
            <w:pPr>
              <w:spacing w:after="20" w:before="20" w:line="240" w:lineRule="auto"/>
              <w:jc w:val="center"/>
            </w:pPr>
            <w:r>
              <w:rPr>
                <w:b w:val="0"/>
                <w:color w:val="000000"/>
                <w:sz w:val="20"/>
              </w:rPr>
              <w:t>21</w:t>
            </w:r>
          </w:p>
        </w:tc>
      </w:tr>
      <w:tr>
        <w:trPr>
          <w:cantSplit/>
        </w:trPr>
        <w:tc>
          <w:tcPr>
            <w:tcW w:type="dxa" w:w="3744"/>
            <w:vAlign w:val="center"/>
            <w:tcMar>
              <w:top w:w="65" w:type="dxa"/>
              <w:left w:w="85" w:type="dxa"/>
              <w:bottom w:w="65" w:type="dxa"/>
              <w:right w:w="85" w:type="dxa"/>
            </w:tcMar>
            <w:shd w:fill="F5F7FA"/>
          </w:tcPr>
          <w:p>
            <w:pPr>
              <w:spacing w:after="20" w:before="20" w:line="240" w:lineRule="auto"/>
              <w:jc w:val="left"/>
            </w:pPr>
            <w:r>
              <w:rPr>
                <w:b w:val="0"/>
                <w:color w:val="000000"/>
                <w:sz w:val="20"/>
              </w:rPr>
              <w:t>ILI and SLI</w:t>
            </w:r>
          </w:p>
        </w:tc>
        <w:tc>
          <w:tcPr>
            <w:tcW w:type="dxa" w:w="2880"/>
            <w:vAlign w:val="center"/>
            <w:tcMar>
              <w:top w:w="65" w:type="dxa"/>
              <w:left w:w="85" w:type="dxa"/>
              <w:bottom w:w="65" w:type="dxa"/>
              <w:right w:w="85" w:type="dxa"/>
            </w:tcMar>
            <w:shd w:fill="F5F7FA"/>
          </w:tcPr>
          <w:p>
            <w:pPr>
              <w:spacing w:after="20" w:before="20" w:line="240" w:lineRule="auto"/>
              <w:jc w:val="center"/>
            </w:pPr>
            <w:r>
              <w:rPr>
                <w:b w:val="0"/>
                <w:color w:val="000000"/>
                <w:sz w:val="20"/>
              </w:rPr>
              <w:t>11</w:t>
            </w:r>
          </w:p>
        </w:tc>
        <w:tc>
          <w:tcPr>
            <w:tcW w:type="dxa" w:w="3312"/>
            <w:vAlign w:val="center"/>
            <w:tcMar>
              <w:top w:w="65" w:type="dxa"/>
              <w:left w:w="85" w:type="dxa"/>
              <w:bottom w:w="65" w:type="dxa"/>
              <w:right w:w="85" w:type="dxa"/>
            </w:tcMar>
            <w:shd w:fill="F5F7FA"/>
          </w:tcPr>
          <w:p>
            <w:pPr>
              <w:spacing w:after="20" w:before="20" w:line="240" w:lineRule="auto"/>
              <w:jc w:val="center"/>
            </w:pPr>
            <w:r>
              <w:rPr>
                <w:b w:val="0"/>
                <w:color w:val="000000"/>
                <w:sz w:val="20"/>
              </w:rPr>
              <w:t>11</w:t>
            </w:r>
          </w:p>
        </w:tc>
      </w:tr>
      <w:tr>
        <w:trPr>
          <w:cantSplit/>
        </w:trPr>
        <w:tc>
          <w:tcPr>
            <w:tcW w:type="dxa" w:w="3744"/>
            <w:vAlign w:val="center"/>
            <w:tcMar>
              <w:top w:w="65" w:type="dxa"/>
              <w:left w:w="85" w:type="dxa"/>
              <w:bottom w:w="65" w:type="dxa"/>
              <w:right w:w="85" w:type="dxa"/>
            </w:tcMar>
          </w:tcPr>
          <w:p>
            <w:pPr>
              <w:spacing w:after="20" w:before="20" w:line="240" w:lineRule="auto"/>
              <w:jc w:val="left"/>
            </w:pPr>
            <w:r>
              <w:rPr>
                <w:b w:val="0"/>
                <w:color w:val="000000"/>
                <w:sz w:val="20"/>
              </w:rPr>
              <w:t>LIE and LSE</w:t>
            </w:r>
          </w:p>
        </w:tc>
        <w:tc>
          <w:tcPr>
            <w:tcW w:type="dxa" w:w="2880"/>
            <w:vAlign w:val="center"/>
            <w:tcMar>
              <w:top w:w="65" w:type="dxa"/>
              <w:left w:w="85" w:type="dxa"/>
              <w:bottom w:w="65" w:type="dxa"/>
              <w:right w:w="85" w:type="dxa"/>
            </w:tcMar>
          </w:tcPr>
          <w:p>
            <w:pPr>
              <w:spacing w:after="20" w:before="20" w:line="240" w:lineRule="auto"/>
              <w:jc w:val="center"/>
            </w:pPr>
            <w:r>
              <w:rPr>
                <w:b w:val="0"/>
                <w:color w:val="000000"/>
                <w:sz w:val="20"/>
              </w:rPr>
              <w:t>6</w:t>
            </w:r>
          </w:p>
        </w:tc>
        <w:tc>
          <w:tcPr>
            <w:tcW w:type="dxa" w:w="3312"/>
            <w:vAlign w:val="center"/>
            <w:tcMar>
              <w:top w:w="65" w:type="dxa"/>
              <w:left w:w="85" w:type="dxa"/>
              <w:bottom w:w="65" w:type="dxa"/>
              <w:right w:w="85" w:type="dxa"/>
            </w:tcMar>
          </w:tcPr>
          <w:p>
            <w:pPr>
              <w:spacing w:after="20" w:before="20" w:line="240" w:lineRule="auto"/>
              <w:jc w:val="center"/>
            </w:pPr>
            <w:r>
              <w:rPr>
                <w:b w:val="0"/>
                <w:color w:val="000000"/>
                <w:sz w:val="20"/>
              </w:rPr>
              <w:t>16</w:t>
            </w:r>
          </w:p>
        </w:tc>
      </w:tr>
      <w:tr>
        <w:trPr>
          <w:cantSplit/>
        </w:trPr>
        <w:tc>
          <w:tcPr>
            <w:tcW w:type="dxa" w:w="3744"/>
            <w:vAlign w:val="center"/>
            <w:tcMar>
              <w:top w:w="65" w:type="dxa"/>
              <w:left w:w="85" w:type="dxa"/>
              <w:bottom w:w="65" w:type="dxa"/>
              <w:right w:w="85" w:type="dxa"/>
            </w:tcMar>
            <w:shd w:fill="F5F7FA"/>
          </w:tcPr>
          <w:p>
            <w:pPr>
              <w:spacing w:after="20" w:before="20" w:line="240" w:lineRule="auto"/>
              <w:jc w:val="left"/>
            </w:pPr>
            <w:r>
              <w:rPr>
                <w:b w:val="0"/>
                <w:color w:val="000000"/>
                <w:sz w:val="20"/>
              </w:rPr>
              <w:t>LII and LSI</w:t>
            </w:r>
          </w:p>
        </w:tc>
        <w:tc>
          <w:tcPr>
            <w:tcW w:type="dxa" w:w="2880"/>
            <w:vAlign w:val="center"/>
            <w:tcMar>
              <w:top w:w="65" w:type="dxa"/>
              <w:left w:w="85" w:type="dxa"/>
              <w:bottom w:w="65" w:type="dxa"/>
              <w:right w:w="85" w:type="dxa"/>
            </w:tcMar>
            <w:shd w:fill="F5F7FA"/>
          </w:tcPr>
          <w:p>
            <w:pPr>
              <w:spacing w:after="20" w:before="20" w:line="240" w:lineRule="auto"/>
              <w:jc w:val="center"/>
            </w:pPr>
            <w:r>
              <w:rPr>
                <w:b w:val="0"/>
                <w:color w:val="000000"/>
                <w:sz w:val="20"/>
              </w:rPr>
              <w:t>8</w:t>
            </w:r>
          </w:p>
        </w:tc>
        <w:tc>
          <w:tcPr>
            <w:tcW w:type="dxa" w:w="3312"/>
            <w:vAlign w:val="center"/>
            <w:tcMar>
              <w:top w:w="65" w:type="dxa"/>
              <w:left w:w="85" w:type="dxa"/>
              <w:bottom w:w="65" w:type="dxa"/>
              <w:right w:w="85" w:type="dxa"/>
            </w:tcMar>
            <w:shd w:fill="F5F7FA"/>
          </w:tcPr>
          <w:p>
            <w:pPr>
              <w:spacing w:after="20" w:before="20" w:line="240" w:lineRule="auto"/>
              <w:jc w:val="center"/>
            </w:pPr>
            <w:r>
              <w:rPr>
                <w:b w:val="0"/>
                <w:color w:val="000000"/>
                <w:sz w:val="20"/>
              </w:rPr>
              <w:t>8</w:t>
            </w:r>
          </w:p>
        </w:tc>
      </w:tr>
    </w:tbl>
    <w:p>
      <w:pPr>
        <w:spacing w:after="0"/>
      </w:pPr>
    </w:p>
    <w:p>
      <w:r>
        <w:t>[machine-checked] A matched control sends the same retained utterance after a second paid Learn. The utterance hashes agree, receiver histories agree, and the sender's R11 activity becomes Ti. Reception cost changes in all 256 pairs. R10 activity stays Ne and none of its 256 matched costs changes. This is a controlled activity effect; sender identity and speech content do not supply the difference.</w:t>
      </w:r>
    </w:p>
    <w:p>
      <w:pPr>
        <w:pStyle w:val="Heading1"/>
      </w:pPr>
      <w:r>
        <w:t>Reception with leading elements</w:t>
      </w:r>
    </w:p>
    <w:p>
      <w:r>
        <w:t>[machine-checked] The analytical calculation emits the element at the sender's first seat and starts the receiver at its own first seat. Both releases return the same table. An independent enumeration of positional cube paths agrees with every checked engine charge. Canon relation names are retained with their original directed convention.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160"/>
        <w:gridCol w:w="6336"/>
      </w:tblGrid>
      <w:tr>
        <w:trPr>
          <w:cantSplit/>
          <w:tblHeader/>
        </w:trPr>
        <w:tc>
          <w:tcPr>
            <w:tcW w:type="dxa" w:w="1440"/>
            <w:vAlign w:val="center"/>
            <w:tcMar>
              <w:top w:w="65" w:type="dxa"/>
              <w:left w:w="85" w:type="dxa"/>
              <w:bottom w:w="65" w:type="dxa"/>
              <w:right w:w="85" w:type="dxa"/>
            </w:tcMar>
            <w:shd w:fill="E6EEF5"/>
          </w:tcPr>
          <w:p>
            <w:pPr>
              <w:spacing w:after="20" w:before="20" w:line="240" w:lineRule="auto"/>
              <w:jc w:val="left"/>
            </w:pPr>
            <w:r>
              <w:rPr>
                <w:b/>
                <w:color w:val="000000"/>
                <w:sz w:val="20"/>
              </w:rPr>
              <w:t>Landing seat</w:t>
            </w:r>
          </w:p>
        </w:tc>
        <w:tc>
          <w:tcPr>
            <w:tcW w:type="dxa" w:w="2160"/>
            <w:vAlign w:val="center"/>
            <w:tcMar>
              <w:top w:w="65" w:type="dxa"/>
              <w:left w:w="85" w:type="dxa"/>
              <w:bottom w:w="65" w:type="dxa"/>
              <w:right w:w="85" w:type="dxa"/>
            </w:tcMar>
            <w:shd w:fill="E6EEF5"/>
          </w:tcPr>
          <w:p>
            <w:pPr>
              <w:spacing w:after="20" w:before="20" w:line="240" w:lineRule="auto"/>
              <w:jc w:val="center"/>
            </w:pPr>
            <w:r>
              <w:rPr>
                <w:b/>
                <w:color w:val="000000"/>
                <w:sz w:val="20"/>
              </w:rPr>
              <w:t>Cost in both releases</w:t>
            </w:r>
          </w:p>
        </w:tc>
        <w:tc>
          <w:tcPr>
            <w:tcW w:type="dxa" w:w="6336"/>
            <w:vAlign w:val="center"/>
            <w:tcMar>
              <w:top w:w="65" w:type="dxa"/>
              <w:left w:w="85" w:type="dxa"/>
              <w:bottom w:w="65" w:type="dxa"/>
              <w:right w:w="85" w:type="dxa"/>
            </w:tcMar>
            <w:shd w:fill="E6EEF5"/>
          </w:tcPr>
          <w:p>
            <w:pPr>
              <w:spacing w:after="20" w:before="20" w:line="240" w:lineRule="auto"/>
              <w:jc w:val="left"/>
            </w:pPr>
            <w:r>
              <w:rPr>
                <w:b/>
                <w:color w:val="000000"/>
                <w:sz w:val="20"/>
              </w:rPr>
              <w:t>Canon relation names</w:t>
            </w:r>
          </w:p>
        </w:tc>
      </w:tr>
      <w:tr>
        <w:trPr>
          <w:cantSplit/>
        </w:trPr>
        <w:tc>
          <w:tcPr>
            <w:tcW w:type="dxa" w:w="1440"/>
            <w:vAlign w:val="center"/>
            <w:tcMar>
              <w:top w:w="65" w:type="dxa"/>
              <w:left w:w="85" w:type="dxa"/>
              <w:bottom w:w="65" w:type="dxa"/>
              <w:right w:w="85" w:type="dxa"/>
            </w:tcMar>
          </w:tcPr>
          <w:p>
            <w:pPr>
              <w:spacing w:after="20" w:before="20" w:line="240" w:lineRule="auto"/>
              <w:jc w:val="left"/>
            </w:pPr>
            <w:r>
              <w:rPr>
                <w:b w:val="0"/>
                <w:color w:val="000000"/>
                <w:sz w:val="20"/>
              </w:rPr>
              <w:t>1</w:t>
            </w:r>
          </w:p>
        </w:tc>
        <w:tc>
          <w:tcPr>
            <w:tcW w:type="dxa" w:w="2160"/>
            <w:vAlign w:val="center"/>
            <w:tcMar>
              <w:top w:w="65" w:type="dxa"/>
              <w:left w:w="85" w:type="dxa"/>
              <w:bottom w:w="65" w:type="dxa"/>
              <w:right w:w="85" w:type="dxa"/>
            </w:tcMar>
          </w:tcPr>
          <w:p>
            <w:pPr>
              <w:spacing w:after="20" w:before="20" w:line="240" w:lineRule="auto"/>
              <w:jc w:val="center"/>
            </w:pPr>
            <w:r>
              <w:rPr>
                <w:b w:val="0"/>
                <w:color w:val="000000"/>
                <w:sz w:val="20"/>
              </w:rPr>
              <w:t>6</w:t>
            </w:r>
          </w:p>
        </w:tc>
        <w:tc>
          <w:tcPr>
            <w:tcW w:type="dxa" w:w="6336"/>
            <w:vAlign w:val="center"/>
            <w:tcMar>
              <w:top w:w="65" w:type="dxa"/>
              <w:left w:w="85" w:type="dxa"/>
              <w:bottom w:w="65" w:type="dxa"/>
              <w:right w:w="85" w:type="dxa"/>
            </w:tcMar>
          </w:tcPr>
          <w:p>
            <w:pPr>
              <w:spacing w:after="20" w:before="20" w:line="240" w:lineRule="auto"/>
              <w:jc w:val="left"/>
            </w:pPr>
            <w:r>
              <w:rPr>
                <w:b w:val="0"/>
                <w:color w:val="000000"/>
                <w:sz w:val="20"/>
              </w:rPr>
              <w:t>identity and kindred</w:t>
            </w:r>
          </w:p>
        </w:tc>
      </w:tr>
      <w:tr>
        <w:trPr>
          <w:cantSplit/>
        </w:trPr>
        <w:tc>
          <w:tcPr>
            <w:tcW w:type="dxa" w:w="1440"/>
            <w:vAlign w:val="center"/>
            <w:tcMar>
              <w:top w:w="65" w:type="dxa"/>
              <w:left w:w="85" w:type="dxa"/>
              <w:bottom w:w="65" w:type="dxa"/>
              <w:right w:w="85" w:type="dxa"/>
            </w:tcMar>
            <w:shd w:fill="F5F7FA"/>
          </w:tcPr>
          <w:p>
            <w:pPr>
              <w:spacing w:after="20" w:before="20" w:line="240" w:lineRule="auto"/>
              <w:jc w:val="left"/>
            </w:pPr>
            <w:r>
              <w:rPr>
                <w:b w:val="0"/>
                <w:color w:val="000000"/>
                <w:sz w:val="20"/>
              </w:rPr>
              <w:t>2</w:t>
            </w:r>
          </w:p>
        </w:tc>
        <w:tc>
          <w:tcPr>
            <w:tcW w:type="dxa" w:w="2160"/>
            <w:vAlign w:val="center"/>
            <w:tcMar>
              <w:top w:w="65" w:type="dxa"/>
              <w:left w:w="85" w:type="dxa"/>
              <w:bottom w:w="65" w:type="dxa"/>
              <w:right w:w="85" w:type="dxa"/>
            </w:tcMar>
            <w:shd w:fill="F5F7FA"/>
          </w:tcPr>
          <w:p>
            <w:pPr>
              <w:spacing w:after="20" w:before="20" w:line="240" w:lineRule="auto"/>
              <w:jc w:val="center"/>
            </w:pPr>
            <w:r>
              <w:rPr>
                <w:b w:val="0"/>
                <w:color w:val="000000"/>
                <w:sz w:val="20"/>
              </w:rPr>
              <w:t>9</w:t>
            </w:r>
          </w:p>
        </w:tc>
        <w:tc>
          <w:tcPr>
            <w:tcW w:type="dxa" w:w="6336"/>
            <w:vAlign w:val="center"/>
            <w:tcMar>
              <w:top w:w="65" w:type="dxa"/>
              <w:left w:w="85" w:type="dxa"/>
              <w:bottom w:w="65" w:type="dxa"/>
              <w:right w:w="85" w:type="dxa"/>
            </w:tcMar>
            <w:shd w:fill="F5F7FA"/>
          </w:tcPr>
          <w:p>
            <w:pPr>
              <w:spacing w:after="20" w:before="20" w:line="240" w:lineRule="auto"/>
              <w:jc w:val="left"/>
            </w:pPr>
            <w:r>
              <w:rPr>
                <w:b w:val="0"/>
                <w:color w:val="000000"/>
                <w:sz w:val="20"/>
              </w:rPr>
              <w:t>mirror and supervision_inverse</w:t>
            </w:r>
          </w:p>
        </w:tc>
      </w:tr>
      <w:tr>
        <w:trPr>
          <w:cantSplit/>
        </w:trPr>
        <w:tc>
          <w:tcPr>
            <w:tcW w:type="dxa" w:w="1440"/>
            <w:vAlign w:val="center"/>
            <w:tcMar>
              <w:top w:w="65" w:type="dxa"/>
              <w:left w:w="85" w:type="dxa"/>
              <w:bottom w:w="65" w:type="dxa"/>
              <w:right w:w="85" w:type="dxa"/>
            </w:tcMar>
          </w:tcPr>
          <w:p>
            <w:pPr>
              <w:spacing w:after="20" w:before="20" w:line="240" w:lineRule="auto"/>
              <w:jc w:val="left"/>
            </w:pPr>
            <w:r>
              <w:rPr>
                <w:b w:val="0"/>
                <w:color w:val="000000"/>
                <w:sz w:val="20"/>
              </w:rPr>
              <w:t>3</w:t>
            </w:r>
          </w:p>
        </w:tc>
        <w:tc>
          <w:tcPr>
            <w:tcW w:type="dxa" w:w="2160"/>
            <w:vAlign w:val="center"/>
            <w:tcMar>
              <w:top w:w="65" w:type="dxa"/>
              <w:left w:w="85" w:type="dxa"/>
              <w:bottom w:w="65" w:type="dxa"/>
              <w:right w:w="85" w:type="dxa"/>
            </w:tcMar>
          </w:tcPr>
          <w:p>
            <w:pPr>
              <w:spacing w:after="20" w:before="20" w:line="240" w:lineRule="auto"/>
              <w:jc w:val="center"/>
            </w:pPr>
            <w:r>
              <w:rPr>
                <w:b w:val="0"/>
                <w:color w:val="000000"/>
                <w:sz w:val="20"/>
              </w:rPr>
              <w:t>11</w:t>
            </w:r>
          </w:p>
        </w:tc>
        <w:tc>
          <w:tcPr>
            <w:tcW w:type="dxa" w:w="6336"/>
            <w:vAlign w:val="center"/>
            <w:tcMar>
              <w:top w:w="65" w:type="dxa"/>
              <w:left w:w="85" w:type="dxa"/>
              <w:bottom w:w="65" w:type="dxa"/>
              <w:right w:w="85" w:type="dxa"/>
            </w:tcMar>
          </w:tcPr>
          <w:p>
            <w:pPr>
              <w:spacing w:after="20" w:before="20" w:line="240" w:lineRule="auto"/>
              <w:jc w:val="left"/>
            </w:pPr>
            <w:r>
              <w:rPr>
                <w:b w:val="0"/>
                <w:color w:val="000000"/>
                <w:sz w:val="20"/>
              </w:rPr>
              <w:t>business and super_ego</w:t>
            </w:r>
          </w:p>
        </w:tc>
      </w:tr>
      <w:tr>
        <w:trPr>
          <w:cantSplit/>
        </w:trPr>
        <w:tc>
          <w:tcPr>
            <w:tcW w:type="dxa" w:w="1440"/>
            <w:vAlign w:val="center"/>
            <w:tcMar>
              <w:top w:w="65" w:type="dxa"/>
              <w:left w:w="85" w:type="dxa"/>
              <w:bottom w:w="65" w:type="dxa"/>
              <w:right w:w="85" w:type="dxa"/>
            </w:tcMar>
            <w:shd w:fill="F5F7FA"/>
          </w:tcPr>
          <w:p>
            <w:pPr>
              <w:spacing w:after="20" w:before="20" w:line="240" w:lineRule="auto"/>
              <w:jc w:val="left"/>
            </w:pPr>
            <w:r>
              <w:rPr>
                <w:b w:val="0"/>
                <w:color w:val="000000"/>
                <w:sz w:val="20"/>
              </w:rPr>
              <w:t>4</w:t>
            </w:r>
          </w:p>
        </w:tc>
        <w:tc>
          <w:tcPr>
            <w:tcW w:type="dxa" w:w="2160"/>
            <w:vAlign w:val="center"/>
            <w:tcMar>
              <w:top w:w="65" w:type="dxa"/>
              <w:left w:w="85" w:type="dxa"/>
              <w:bottom w:w="65" w:type="dxa"/>
              <w:right w:w="85" w:type="dxa"/>
            </w:tcMar>
            <w:shd w:fill="F5F7FA"/>
          </w:tcPr>
          <w:p>
            <w:pPr>
              <w:spacing w:after="20" w:before="20" w:line="240" w:lineRule="auto"/>
              <w:jc w:val="center"/>
            </w:pPr>
            <w:r>
              <w:rPr>
                <w:b w:val="0"/>
                <w:color w:val="000000"/>
                <w:sz w:val="20"/>
              </w:rPr>
              <w:t>14</w:t>
            </w:r>
          </w:p>
        </w:tc>
        <w:tc>
          <w:tcPr>
            <w:tcW w:type="dxa" w:w="6336"/>
            <w:vAlign w:val="center"/>
            <w:tcMar>
              <w:top w:w="65" w:type="dxa"/>
              <w:left w:w="85" w:type="dxa"/>
              <w:bottom w:w="65" w:type="dxa"/>
              <w:right w:w="85" w:type="dxa"/>
            </w:tcMar>
            <w:shd w:fill="F5F7FA"/>
          </w:tcPr>
          <w:p>
            <w:pPr>
              <w:spacing w:after="20" w:before="20" w:line="240" w:lineRule="auto"/>
              <w:jc w:val="left"/>
            </w:pPr>
            <w:r>
              <w:rPr>
                <w:b w:val="0"/>
                <w:color w:val="000000"/>
                <w:sz w:val="20"/>
              </w:rPr>
              <w:t>supervision and conflict</w:t>
            </w:r>
          </w:p>
        </w:tc>
      </w:tr>
      <w:tr>
        <w:trPr>
          <w:cantSplit/>
        </w:trPr>
        <w:tc>
          <w:tcPr>
            <w:tcW w:type="dxa" w:w="1440"/>
            <w:vAlign w:val="center"/>
            <w:tcMar>
              <w:top w:w="65" w:type="dxa"/>
              <w:left w:w="85" w:type="dxa"/>
              <w:bottom w:w="65" w:type="dxa"/>
              <w:right w:w="85" w:type="dxa"/>
            </w:tcMar>
          </w:tcPr>
          <w:p>
            <w:pPr>
              <w:spacing w:after="20" w:before="20" w:line="240" w:lineRule="auto"/>
              <w:jc w:val="left"/>
            </w:pPr>
            <w:r>
              <w:rPr>
                <w:b w:val="0"/>
                <w:color w:val="000000"/>
                <w:sz w:val="20"/>
              </w:rPr>
              <w:t>5</w:t>
            </w:r>
          </w:p>
        </w:tc>
        <w:tc>
          <w:tcPr>
            <w:tcW w:type="dxa" w:w="2160"/>
            <w:vAlign w:val="center"/>
            <w:tcMar>
              <w:top w:w="65" w:type="dxa"/>
              <w:left w:w="85" w:type="dxa"/>
              <w:bottom w:w="65" w:type="dxa"/>
              <w:right w:w="85" w:type="dxa"/>
            </w:tcMar>
          </w:tcPr>
          <w:p>
            <w:pPr>
              <w:spacing w:after="20" w:before="20" w:line="240" w:lineRule="auto"/>
              <w:jc w:val="center"/>
            </w:pPr>
            <w:r>
              <w:rPr>
                <w:b w:val="0"/>
                <w:color w:val="000000"/>
                <w:sz w:val="20"/>
              </w:rPr>
              <w:t>8</w:t>
            </w:r>
          </w:p>
        </w:tc>
        <w:tc>
          <w:tcPr>
            <w:tcW w:type="dxa" w:w="6336"/>
            <w:vAlign w:val="center"/>
            <w:tcMar>
              <w:top w:w="65" w:type="dxa"/>
              <w:left w:w="85" w:type="dxa"/>
              <w:bottom w:w="65" w:type="dxa"/>
              <w:right w:w="85" w:type="dxa"/>
            </w:tcMar>
          </w:tcPr>
          <w:p>
            <w:pPr>
              <w:spacing w:after="20" w:before="20" w:line="240" w:lineRule="auto"/>
              <w:jc w:val="left"/>
            </w:pPr>
            <w:r>
              <w:rPr>
                <w:b w:val="0"/>
                <w:color w:val="000000"/>
                <w:sz w:val="20"/>
              </w:rPr>
              <w:t>duality and semi_duality</w:t>
            </w:r>
          </w:p>
        </w:tc>
      </w:tr>
      <w:tr>
        <w:trPr>
          <w:cantSplit/>
        </w:trPr>
        <w:tc>
          <w:tcPr>
            <w:tcW w:type="dxa" w:w="1440"/>
            <w:vAlign w:val="center"/>
            <w:tcMar>
              <w:top w:w="65" w:type="dxa"/>
              <w:left w:w="85" w:type="dxa"/>
              <w:bottom w:w="65" w:type="dxa"/>
              <w:right w:w="85" w:type="dxa"/>
            </w:tcMar>
            <w:shd w:fill="F5F7FA"/>
          </w:tcPr>
          <w:p>
            <w:pPr>
              <w:spacing w:after="20" w:before="20" w:line="240" w:lineRule="auto"/>
              <w:jc w:val="left"/>
            </w:pPr>
            <w:r>
              <w:rPr>
                <w:b w:val="0"/>
                <w:color w:val="000000"/>
                <w:sz w:val="20"/>
              </w:rPr>
              <w:t>6</w:t>
            </w:r>
          </w:p>
        </w:tc>
        <w:tc>
          <w:tcPr>
            <w:tcW w:type="dxa" w:w="2160"/>
            <w:vAlign w:val="center"/>
            <w:tcMar>
              <w:top w:w="65" w:type="dxa"/>
              <w:left w:w="85" w:type="dxa"/>
              <w:bottom w:w="65" w:type="dxa"/>
              <w:right w:w="85" w:type="dxa"/>
            </w:tcMar>
            <w:shd w:fill="F5F7FA"/>
          </w:tcPr>
          <w:p>
            <w:pPr>
              <w:spacing w:after="20" w:before="20" w:line="240" w:lineRule="auto"/>
              <w:jc w:val="center"/>
            </w:pPr>
            <w:r>
              <w:rPr>
                <w:b w:val="0"/>
                <w:color w:val="000000"/>
                <w:sz w:val="20"/>
              </w:rPr>
              <w:t>10</w:t>
            </w:r>
          </w:p>
        </w:tc>
        <w:tc>
          <w:tcPr>
            <w:tcW w:type="dxa" w:w="6336"/>
            <w:vAlign w:val="center"/>
            <w:tcMar>
              <w:top w:w="65" w:type="dxa"/>
              <w:left w:w="85" w:type="dxa"/>
              <w:bottom w:w="65" w:type="dxa"/>
              <w:right w:w="85" w:type="dxa"/>
            </w:tcMar>
            <w:shd w:fill="F5F7FA"/>
          </w:tcPr>
          <w:p>
            <w:pPr>
              <w:spacing w:after="20" w:before="20" w:line="240" w:lineRule="auto"/>
              <w:jc w:val="left"/>
            </w:pPr>
            <w:r>
              <w:rPr>
                <w:b w:val="0"/>
                <w:color w:val="000000"/>
                <w:sz w:val="20"/>
              </w:rPr>
              <w:t>activation and benefit_inverse</w:t>
            </w:r>
          </w:p>
        </w:tc>
      </w:tr>
      <w:tr>
        <w:trPr>
          <w:cantSplit/>
        </w:trPr>
        <w:tc>
          <w:tcPr>
            <w:tcW w:type="dxa" w:w="1440"/>
            <w:vAlign w:val="center"/>
            <w:tcMar>
              <w:top w:w="65" w:type="dxa"/>
              <w:left w:w="85" w:type="dxa"/>
              <w:bottom w:w="65" w:type="dxa"/>
              <w:right w:w="85" w:type="dxa"/>
            </w:tcMar>
          </w:tcPr>
          <w:p>
            <w:pPr>
              <w:spacing w:after="20" w:before="20" w:line="240" w:lineRule="auto"/>
              <w:jc w:val="left"/>
            </w:pPr>
            <w:r>
              <w:rPr>
                <w:b w:val="0"/>
                <w:color w:val="000000"/>
                <w:sz w:val="20"/>
              </w:rPr>
              <w:t>7</w:t>
            </w:r>
          </w:p>
        </w:tc>
        <w:tc>
          <w:tcPr>
            <w:tcW w:type="dxa" w:w="2160"/>
            <w:vAlign w:val="center"/>
            <w:tcMar>
              <w:top w:w="65" w:type="dxa"/>
              <w:left w:w="85" w:type="dxa"/>
              <w:bottom w:w="65" w:type="dxa"/>
              <w:right w:w="85" w:type="dxa"/>
            </w:tcMar>
          </w:tcPr>
          <w:p>
            <w:pPr>
              <w:spacing w:after="20" w:before="20" w:line="240" w:lineRule="auto"/>
              <w:jc w:val="center"/>
            </w:pPr>
            <w:r>
              <w:rPr>
                <w:b w:val="0"/>
                <w:color w:val="000000"/>
                <w:sz w:val="20"/>
              </w:rPr>
              <w:t>7</w:t>
            </w:r>
          </w:p>
        </w:tc>
        <w:tc>
          <w:tcPr>
            <w:tcW w:type="dxa" w:w="6336"/>
            <w:vAlign w:val="center"/>
            <w:tcMar>
              <w:top w:w="65" w:type="dxa"/>
              <w:left w:w="85" w:type="dxa"/>
              <w:bottom w:w="65" w:type="dxa"/>
              <w:right w:w="85" w:type="dxa"/>
            </w:tcMar>
          </w:tcPr>
          <w:p>
            <w:pPr>
              <w:spacing w:after="20" w:before="20" w:line="240" w:lineRule="auto"/>
              <w:jc w:val="left"/>
            </w:pPr>
            <w:r>
              <w:rPr>
                <w:b w:val="0"/>
                <w:color w:val="000000"/>
                <w:sz w:val="20"/>
              </w:rPr>
              <w:t>contrary and mirage</w:t>
            </w:r>
          </w:p>
        </w:tc>
      </w:tr>
      <w:tr>
        <w:trPr>
          <w:cantSplit/>
        </w:trPr>
        <w:tc>
          <w:tcPr>
            <w:tcW w:type="dxa" w:w="1440"/>
            <w:vAlign w:val="center"/>
            <w:tcMar>
              <w:top w:w="65" w:type="dxa"/>
              <w:left w:w="85" w:type="dxa"/>
              <w:bottom w:w="65" w:type="dxa"/>
              <w:right w:w="85" w:type="dxa"/>
            </w:tcMar>
            <w:shd w:fill="F5F7FA"/>
          </w:tcPr>
          <w:p>
            <w:pPr>
              <w:spacing w:after="20" w:before="20" w:line="240" w:lineRule="auto"/>
              <w:jc w:val="left"/>
            </w:pPr>
            <w:r>
              <w:rPr>
                <w:b w:val="0"/>
                <w:color w:val="000000"/>
                <w:sz w:val="20"/>
              </w:rPr>
              <w:t>8</w:t>
            </w:r>
          </w:p>
        </w:tc>
        <w:tc>
          <w:tcPr>
            <w:tcW w:type="dxa" w:w="2160"/>
            <w:vAlign w:val="center"/>
            <w:tcMar>
              <w:top w:w="65" w:type="dxa"/>
              <w:left w:w="85" w:type="dxa"/>
              <w:bottom w:w="65" w:type="dxa"/>
              <w:right w:w="85" w:type="dxa"/>
            </w:tcMar>
            <w:shd w:fill="F5F7FA"/>
          </w:tcPr>
          <w:p>
            <w:pPr>
              <w:spacing w:after="20" w:before="20" w:line="240" w:lineRule="auto"/>
              <w:jc w:val="center"/>
            </w:pPr>
            <w:r>
              <w:rPr>
                <w:b w:val="0"/>
                <w:color w:val="000000"/>
                <w:sz w:val="20"/>
              </w:rPr>
              <w:t>7</w:t>
            </w:r>
          </w:p>
        </w:tc>
        <w:tc>
          <w:tcPr>
            <w:tcW w:type="dxa" w:w="6336"/>
            <w:vAlign w:val="center"/>
            <w:tcMar>
              <w:top w:w="65" w:type="dxa"/>
              <w:left w:w="85" w:type="dxa"/>
              <w:bottom w:w="65" w:type="dxa"/>
              <w:right w:w="85" w:type="dxa"/>
            </w:tcMar>
            <w:shd w:fill="F5F7FA"/>
          </w:tcPr>
          <w:p>
            <w:pPr>
              <w:spacing w:after="20" w:before="20" w:line="240" w:lineRule="auto"/>
              <w:jc w:val="left"/>
            </w:pPr>
            <w:r>
              <w:rPr>
                <w:b w:val="0"/>
                <w:color w:val="000000"/>
                <w:sz w:val="20"/>
              </w:rPr>
              <w:t>quasi_identity and benefit</w:t>
            </w:r>
          </w:p>
        </w:tc>
      </w:tr>
    </w:tbl>
    <w:p>
      <w:pPr>
        <w:spacing w:after="0"/>
      </w:pPr>
    </w:p>
    <w:p>
      <w:r>
        <w:t>[machine-checked] Every sender mean and every receiver mean is 9 under this analytical design in both releases. This calculation is distinct from receiving a completed Produce request, where the operation fixes the emitted element and the receiver starts from its actual prior activity.</w:t>
      </w:r>
    </w:p>
    <w:p>
      <w:r>
        <w:t>[interpretive] The balanced mean survives as a conditional symmetry of the seat-one design. Its named-relation ranking does not survive as a universal ranking for speech produced after actual activity. Source-defined frame relationships and chosen numerical costs must remain distinct.</w:t>
      </w:r>
    </w:p>
    <w:p>
      <w:pPr>
        <w:pStyle w:val="Heading1"/>
      </w:pPr>
      <w:r>
        <w:t>Extractor type and available work</w:t>
      </w:r>
    </w:p>
    <w:p>
      <w:r>
        <w:t>[machine-checked] Forty-eight isolated asks vary all sixteen extractor types against each of the three fixed members. Under ample resources Alice can fulfill the initial transfer; Bob and Cara refuse it because their own current evidence does not show them as owner. Extractor type changes modeled work costs, not ownership or authorization. Sixteen full Q1 runs likewise produce one material transfer and zero organization fulfillments each, with Dara's R11 assay cost ranging from 361 to 1367 units. These totals include Dara reading replies.</w:t>
      </w:r>
    </w:p>
    <w:p>
      <w:r>
        <w:t>[machine-checked] With just one twenty-unit Produce opportunity after Learn, ten R11 types complete and six remain partial: ILI, SLI, LIE, LSE, LII and LSI. Partial jobs publish no utterance and are not sent. Every R10 type completes the five-unit operation. This is a bounded work opportunity, not depletion of a twenty-unit lifetime wallet or a finding about a person's propensity to extract.</w:t>
      </w:r>
    </w:p>
    <w:p>
      <w:pPr>
        <w:pStyle w:val="Heading1"/>
      </w:pPr>
      <w:r>
        <w:t>Paid readmission and the practice control</w:t>
      </w:r>
    </w:p>
    <w:p>
      <w:r>
        <w:t>[machine-checked] After Q4, six additional organization runs fulfill. Dara's unsupported formulation remains unresolved; the engine rejects its transmission as an organization proposal. Dara has no organization state before admission, and received Join notices plus Attend still confer no seat. A newly reviewed and ratified four-member agreement gives all participants the same terms. Four subsequent actions transfer the box Alice to Bob to Cara to Dara to Alice, including Dara's own fulfilled transfer.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512"/>
        <w:gridCol w:w="2304"/>
        <w:gridCol w:w="2016"/>
        <w:gridCol w:w="2592"/>
      </w:tblGrid>
      <w:tr>
        <w:trPr>
          <w:cantSplit/>
          <w:tblHeader/>
        </w:trPr>
        <w:tc>
          <w:tcPr>
            <w:tcW w:type="dxa" w:w="1512"/>
            <w:vAlign w:val="center"/>
            <w:tcMar>
              <w:top w:w="65" w:type="dxa"/>
              <w:left w:w="85" w:type="dxa"/>
              <w:bottom w:w="65" w:type="dxa"/>
              <w:right w:w="85" w:type="dxa"/>
            </w:tcMar>
            <w:shd w:fill="E6EEF5"/>
          </w:tcPr>
          <w:p>
            <w:pPr>
              <w:spacing w:after="20" w:before="20" w:line="240" w:lineRule="auto"/>
              <w:jc w:val="left"/>
            </w:pPr>
            <w:r>
              <w:rPr>
                <w:b/>
                <w:color w:val="000000"/>
                <w:sz w:val="20"/>
              </w:rPr>
              <w:t>R11 participant</w:t>
            </w:r>
          </w:p>
        </w:tc>
        <w:tc>
          <w:tcPr>
            <w:tcW w:type="dxa" w:w="1512"/>
            <w:vAlign w:val="center"/>
            <w:tcMar>
              <w:top w:w="65" w:type="dxa"/>
              <w:left w:w="85" w:type="dxa"/>
              <w:bottom w:w="65" w:type="dxa"/>
              <w:right w:w="85" w:type="dxa"/>
            </w:tcMar>
            <w:shd w:fill="E6EEF5"/>
          </w:tcPr>
          <w:p>
            <w:pPr>
              <w:spacing w:after="20" w:before="20" w:line="240" w:lineRule="auto"/>
              <w:jc w:val="center"/>
            </w:pPr>
            <w:r>
              <w:rPr>
                <w:b/>
                <w:color w:val="000000"/>
                <w:sz w:val="20"/>
              </w:rPr>
              <w:t>Six practice runs</w:t>
            </w:r>
          </w:p>
        </w:tc>
        <w:tc>
          <w:tcPr>
            <w:tcW w:type="dxa" w:w="2304"/>
            <w:vAlign w:val="center"/>
            <w:tcMar>
              <w:top w:w="65" w:type="dxa"/>
              <w:left w:w="85" w:type="dxa"/>
              <w:bottom w:w="65" w:type="dxa"/>
              <w:right w:w="85" w:type="dxa"/>
            </w:tcMar>
            <w:shd w:fill="E6EEF5"/>
          </w:tcPr>
          <w:p>
            <w:pPr>
              <w:spacing w:after="20" w:before="20" w:line="240" w:lineRule="auto"/>
              <w:jc w:val="center"/>
            </w:pPr>
            <w:r>
              <w:rPr>
                <w:b/>
                <w:color w:val="000000"/>
                <w:sz w:val="20"/>
              </w:rPr>
              <w:t>Application and controls</w:t>
            </w:r>
          </w:p>
        </w:tc>
        <w:tc>
          <w:tcPr>
            <w:tcW w:type="dxa" w:w="2016"/>
            <w:vAlign w:val="center"/>
            <w:tcMar>
              <w:top w:w="65" w:type="dxa"/>
              <w:left w:w="85" w:type="dxa"/>
              <w:bottom w:w="65" w:type="dxa"/>
              <w:right w:w="85" w:type="dxa"/>
            </w:tcMar>
            <w:shd w:fill="E6EEF5"/>
          </w:tcPr>
          <w:p>
            <w:pPr>
              <w:spacing w:after="20" w:before="20" w:line="240" w:lineRule="auto"/>
              <w:jc w:val="center"/>
            </w:pPr>
            <w:r>
              <w:rPr>
                <w:b/>
                <w:color w:val="000000"/>
                <w:sz w:val="20"/>
              </w:rPr>
              <w:t>Successor agreement</w:t>
            </w:r>
          </w:p>
        </w:tc>
        <w:tc>
          <w:tcPr>
            <w:tcW w:type="dxa" w:w="2592"/>
            <w:vAlign w:val="center"/>
            <w:tcMar>
              <w:top w:w="65" w:type="dxa"/>
              <w:left w:w="85" w:type="dxa"/>
              <w:bottom w:w="65" w:type="dxa"/>
              <w:right w:w="85" w:type="dxa"/>
            </w:tcMar>
            <w:shd w:fill="E6EEF5"/>
          </w:tcPr>
          <w:p>
            <w:pPr>
              <w:spacing w:after="20" w:before="20" w:line="240" w:lineRule="auto"/>
              <w:jc w:val="center"/>
            </w:pPr>
            <w:r>
              <w:rPr>
                <w:b/>
                <w:color w:val="000000"/>
                <w:sz w:val="20"/>
              </w:rPr>
              <w:t>Total before new runs</w:t>
            </w:r>
          </w:p>
        </w:tc>
      </w:tr>
      <w:tr>
        <w:trPr>
          <w:cantSplit/>
        </w:trPr>
        <w:tc>
          <w:tcPr>
            <w:tcW w:type="dxa" w:w="1512"/>
            <w:vAlign w:val="center"/>
            <w:tcMar>
              <w:top w:w="65" w:type="dxa"/>
              <w:left w:w="85" w:type="dxa"/>
              <w:bottom w:w="65" w:type="dxa"/>
              <w:right w:w="85" w:type="dxa"/>
            </w:tcMar>
          </w:tcPr>
          <w:p>
            <w:pPr>
              <w:spacing w:after="20" w:before="20" w:line="240" w:lineRule="auto"/>
              <w:jc w:val="left"/>
            </w:pPr>
            <w:r>
              <w:rPr>
                <w:b w:val="0"/>
                <w:color w:val="000000"/>
                <w:sz w:val="20"/>
              </w:rPr>
              <w:t>Alice</w:t>
            </w:r>
          </w:p>
        </w:tc>
        <w:tc>
          <w:tcPr>
            <w:tcW w:type="dxa" w:w="1512"/>
            <w:vAlign w:val="center"/>
            <w:tcMar>
              <w:top w:w="65" w:type="dxa"/>
              <w:left w:w="85" w:type="dxa"/>
              <w:bottom w:w="65" w:type="dxa"/>
              <w:right w:w="85" w:type="dxa"/>
            </w:tcMar>
          </w:tcPr>
          <w:p>
            <w:pPr>
              <w:spacing w:after="20" w:before="20" w:line="240" w:lineRule="auto"/>
              <w:jc w:val="center"/>
            </w:pPr>
            <w:r>
              <w:rPr>
                <w:b w:val="0"/>
                <w:color w:val="000000"/>
                <w:sz w:val="20"/>
              </w:rPr>
              <w:t>42</w:t>
            </w:r>
          </w:p>
        </w:tc>
        <w:tc>
          <w:tcPr>
            <w:tcW w:type="dxa" w:w="2304"/>
            <w:vAlign w:val="center"/>
            <w:tcMar>
              <w:top w:w="65" w:type="dxa"/>
              <w:left w:w="85" w:type="dxa"/>
              <w:bottom w:w="65" w:type="dxa"/>
              <w:right w:w="85" w:type="dxa"/>
            </w:tcMar>
          </w:tcPr>
          <w:p>
            <w:pPr>
              <w:spacing w:after="20" w:before="20" w:line="240" w:lineRule="auto"/>
              <w:jc w:val="center"/>
            </w:pPr>
            <w:r>
              <w:rPr>
                <w:b w:val="0"/>
                <w:color w:val="000000"/>
                <w:sz w:val="20"/>
              </w:rPr>
              <w:t>24</w:t>
            </w:r>
          </w:p>
        </w:tc>
        <w:tc>
          <w:tcPr>
            <w:tcW w:type="dxa" w:w="2016"/>
            <w:vAlign w:val="center"/>
            <w:tcMar>
              <w:top w:w="65" w:type="dxa"/>
              <w:left w:w="85" w:type="dxa"/>
              <w:bottom w:w="65" w:type="dxa"/>
              <w:right w:w="85" w:type="dxa"/>
            </w:tcMar>
          </w:tcPr>
          <w:p>
            <w:pPr>
              <w:spacing w:after="20" w:before="20" w:line="240" w:lineRule="auto"/>
              <w:jc w:val="center"/>
            </w:pPr>
            <w:r>
              <w:rPr>
                <w:b w:val="0"/>
                <w:color w:val="000000"/>
                <w:sz w:val="20"/>
              </w:rPr>
              <w:t>126</w:t>
            </w:r>
          </w:p>
        </w:tc>
        <w:tc>
          <w:tcPr>
            <w:tcW w:type="dxa" w:w="2592"/>
            <w:vAlign w:val="center"/>
            <w:tcMar>
              <w:top w:w="65" w:type="dxa"/>
              <w:left w:w="85" w:type="dxa"/>
              <w:bottom w:w="65" w:type="dxa"/>
              <w:right w:w="85" w:type="dxa"/>
            </w:tcMar>
          </w:tcPr>
          <w:p>
            <w:pPr>
              <w:spacing w:after="20" w:before="20" w:line="240" w:lineRule="auto"/>
              <w:jc w:val="center"/>
            </w:pPr>
            <w:r>
              <w:rPr>
                <w:b w:val="0"/>
                <w:color w:val="000000"/>
                <w:sz w:val="20"/>
              </w:rPr>
              <w:t>192</w:t>
            </w:r>
          </w:p>
        </w:tc>
      </w:tr>
      <w:tr>
        <w:trPr>
          <w:cantSplit/>
        </w:trPr>
        <w:tc>
          <w:tcPr>
            <w:tcW w:type="dxa" w:w="1512"/>
            <w:vAlign w:val="center"/>
            <w:tcMar>
              <w:top w:w="65" w:type="dxa"/>
              <w:left w:w="85" w:type="dxa"/>
              <w:bottom w:w="65" w:type="dxa"/>
              <w:right w:w="85" w:type="dxa"/>
            </w:tcMar>
            <w:shd w:fill="F5F7FA"/>
          </w:tcPr>
          <w:p>
            <w:pPr>
              <w:spacing w:after="20" w:before="20" w:line="240" w:lineRule="auto"/>
              <w:jc w:val="left"/>
            </w:pPr>
            <w:r>
              <w:rPr>
                <w:b w:val="0"/>
                <w:color w:val="000000"/>
                <w:sz w:val="20"/>
              </w:rPr>
              <w:t>Bob</w:t>
            </w:r>
          </w:p>
        </w:tc>
        <w:tc>
          <w:tcPr>
            <w:tcW w:type="dxa" w:w="1512"/>
            <w:vAlign w:val="center"/>
            <w:tcMar>
              <w:top w:w="65" w:type="dxa"/>
              <w:left w:w="85" w:type="dxa"/>
              <w:bottom w:w="65" w:type="dxa"/>
              <w:right w:w="85" w:type="dxa"/>
            </w:tcMar>
            <w:shd w:fill="F5F7FA"/>
          </w:tcPr>
          <w:p>
            <w:pPr>
              <w:spacing w:after="20" w:before="20" w:line="240" w:lineRule="auto"/>
              <w:jc w:val="center"/>
            </w:pPr>
            <w:r>
              <w:rPr>
                <w:b w:val="0"/>
                <w:color w:val="000000"/>
                <w:sz w:val="20"/>
              </w:rPr>
              <w:t>38</w:t>
            </w:r>
          </w:p>
        </w:tc>
        <w:tc>
          <w:tcPr>
            <w:tcW w:type="dxa" w:w="2304"/>
            <w:vAlign w:val="center"/>
            <w:tcMar>
              <w:top w:w="65" w:type="dxa"/>
              <w:left w:w="85" w:type="dxa"/>
              <w:bottom w:w="65" w:type="dxa"/>
              <w:right w:w="85" w:type="dxa"/>
            </w:tcMar>
            <w:shd w:fill="F5F7FA"/>
          </w:tcPr>
          <w:p>
            <w:pPr>
              <w:spacing w:after="20" w:before="20" w:line="240" w:lineRule="auto"/>
              <w:jc w:val="center"/>
            </w:pPr>
            <w:r>
              <w:rPr>
                <w:b w:val="0"/>
                <w:color w:val="000000"/>
                <w:sz w:val="20"/>
              </w:rPr>
              <w:t>19</w:t>
            </w:r>
          </w:p>
        </w:tc>
        <w:tc>
          <w:tcPr>
            <w:tcW w:type="dxa" w:w="2016"/>
            <w:vAlign w:val="center"/>
            <w:tcMar>
              <w:top w:w="65" w:type="dxa"/>
              <w:left w:w="85" w:type="dxa"/>
              <w:bottom w:w="65" w:type="dxa"/>
              <w:right w:w="85" w:type="dxa"/>
            </w:tcMar>
            <w:shd w:fill="F5F7FA"/>
          </w:tcPr>
          <w:p>
            <w:pPr>
              <w:spacing w:after="20" w:before="20" w:line="240" w:lineRule="auto"/>
              <w:jc w:val="center"/>
            </w:pPr>
            <w:r>
              <w:rPr>
                <w:b w:val="0"/>
                <w:color w:val="000000"/>
                <w:sz w:val="20"/>
              </w:rPr>
              <w:t>120</w:t>
            </w:r>
          </w:p>
        </w:tc>
        <w:tc>
          <w:tcPr>
            <w:tcW w:type="dxa" w:w="2592"/>
            <w:vAlign w:val="center"/>
            <w:tcMar>
              <w:top w:w="65" w:type="dxa"/>
              <w:left w:w="85" w:type="dxa"/>
              <w:bottom w:w="65" w:type="dxa"/>
              <w:right w:w="85" w:type="dxa"/>
            </w:tcMar>
            <w:shd w:fill="F5F7FA"/>
          </w:tcPr>
          <w:p>
            <w:pPr>
              <w:spacing w:after="20" w:before="20" w:line="240" w:lineRule="auto"/>
              <w:jc w:val="center"/>
            </w:pPr>
            <w:r>
              <w:rPr>
                <w:b w:val="0"/>
                <w:color w:val="000000"/>
                <w:sz w:val="20"/>
              </w:rPr>
              <w:t>177</w:t>
            </w:r>
          </w:p>
        </w:tc>
      </w:tr>
      <w:tr>
        <w:trPr>
          <w:cantSplit/>
        </w:trPr>
        <w:tc>
          <w:tcPr>
            <w:tcW w:type="dxa" w:w="1512"/>
            <w:vAlign w:val="center"/>
            <w:tcMar>
              <w:top w:w="65" w:type="dxa"/>
              <w:left w:w="85" w:type="dxa"/>
              <w:bottom w:w="65" w:type="dxa"/>
              <w:right w:w="85" w:type="dxa"/>
            </w:tcMar>
          </w:tcPr>
          <w:p>
            <w:pPr>
              <w:spacing w:after="20" w:before="20" w:line="240" w:lineRule="auto"/>
              <w:jc w:val="left"/>
            </w:pPr>
            <w:r>
              <w:rPr>
                <w:b w:val="0"/>
                <w:color w:val="000000"/>
                <w:sz w:val="20"/>
              </w:rPr>
              <w:t>Cara</w:t>
            </w:r>
          </w:p>
        </w:tc>
        <w:tc>
          <w:tcPr>
            <w:tcW w:type="dxa" w:w="1512"/>
            <w:vAlign w:val="center"/>
            <w:tcMar>
              <w:top w:w="65" w:type="dxa"/>
              <w:left w:w="85" w:type="dxa"/>
              <w:bottom w:w="65" w:type="dxa"/>
              <w:right w:w="85" w:type="dxa"/>
            </w:tcMar>
          </w:tcPr>
          <w:p>
            <w:pPr>
              <w:spacing w:after="20" w:before="20" w:line="240" w:lineRule="auto"/>
              <w:jc w:val="center"/>
            </w:pPr>
            <w:r>
              <w:rPr>
                <w:b w:val="0"/>
                <w:color w:val="000000"/>
                <w:sz w:val="20"/>
              </w:rPr>
              <w:t>38</w:t>
            </w:r>
          </w:p>
        </w:tc>
        <w:tc>
          <w:tcPr>
            <w:tcW w:type="dxa" w:w="2304"/>
            <w:vAlign w:val="center"/>
            <w:tcMar>
              <w:top w:w="65" w:type="dxa"/>
              <w:left w:w="85" w:type="dxa"/>
              <w:bottom w:w="65" w:type="dxa"/>
              <w:right w:w="85" w:type="dxa"/>
            </w:tcMar>
          </w:tcPr>
          <w:p>
            <w:pPr>
              <w:spacing w:after="20" w:before="20" w:line="240" w:lineRule="auto"/>
              <w:jc w:val="center"/>
            </w:pPr>
            <w:r>
              <w:rPr>
                <w:b w:val="0"/>
                <w:color w:val="000000"/>
                <w:sz w:val="20"/>
              </w:rPr>
              <w:t>18</w:t>
            </w:r>
          </w:p>
        </w:tc>
        <w:tc>
          <w:tcPr>
            <w:tcW w:type="dxa" w:w="2016"/>
            <w:vAlign w:val="center"/>
            <w:tcMar>
              <w:top w:w="65" w:type="dxa"/>
              <w:left w:w="85" w:type="dxa"/>
              <w:bottom w:w="65" w:type="dxa"/>
              <w:right w:w="85" w:type="dxa"/>
            </w:tcMar>
          </w:tcPr>
          <w:p>
            <w:pPr>
              <w:spacing w:after="20" w:before="20" w:line="240" w:lineRule="auto"/>
              <w:jc w:val="center"/>
            </w:pPr>
            <w:r>
              <w:rPr>
                <w:b w:val="0"/>
                <w:color w:val="000000"/>
                <w:sz w:val="20"/>
              </w:rPr>
              <w:t>91</w:t>
            </w:r>
          </w:p>
        </w:tc>
        <w:tc>
          <w:tcPr>
            <w:tcW w:type="dxa" w:w="2592"/>
            <w:vAlign w:val="center"/>
            <w:tcMar>
              <w:top w:w="65" w:type="dxa"/>
              <w:left w:w="85" w:type="dxa"/>
              <w:bottom w:w="65" w:type="dxa"/>
              <w:right w:w="85" w:type="dxa"/>
            </w:tcMar>
          </w:tcPr>
          <w:p>
            <w:pPr>
              <w:spacing w:after="20" w:before="20" w:line="240" w:lineRule="auto"/>
              <w:jc w:val="center"/>
            </w:pPr>
            <w:r>
              <w:rPr>
                <w:b w:val="0"/>
                <w:color w:val="000000"/>
                <w:sz w:val="20"/>
              </w:rPr>
              <w:t>147</w:t>
            </w:r>
          </w:p>
        </w:tc>
      </w:tr>
      <w:tr>
        <w:trPr>
          <w:cantSplit/>
        </w:trPr>
        <w:tc>
          <w:tcPr>
            <w:tcW w:type="dxa" w:w="1512"/>
            <w:vAlign w:val="center"/>
            <w:tcMar>
              <w:top w:w="65" w:type="dxa"/>
              <w:left w:w="85" w:type="dxa"/>
              <w:bottom w:w="65" w:type="dxa"/>
              <w:right w:w="85" w:type="dxa"/>
            </w:tcMar>
            <w:shd w:fill="F5F7FA"/>
          </w:tcPr>
          <w:p>
            <w:pPr>
              <w:spacing w:after="20" w:before="20" w:line="240" w:lineRule="auto"/>
              <w:jc w:val="left"/>
            </w:pPr>
            <w:r>
              <w:rPr>
                <w:b w:val="0"/>
                <w:color w:val="000000"/>
                <w:sz w:val="20"/>
              </w:rPr>
              <w:t>Dara</w:t>
            </w:r>
          </w:p>
        </w:tc>
        <w:tc>
          <w:tcPr>
            <w:tcW w:type="dxa" w:w="1512"/>
            <w:vAlign w:val="center"/>
            <w:tcMar>
              <w:top w:w="65" w:type="dxa"/>
              <w:left w:w="85" w:type="dxa"/>
              <w:bottom w:w="65" w:type="dxa"/>
              <w:right w:w="85" w:type="dxa"/>
            </w:tcMar>
            <w:shd w:fill="F5F7FA"/>
          </w:tcPr>
          <w:p>
            <w:pPr>
              <w:spacing w:after="20" w:before="20" w:line="240" w:lineRule="auto"/>
              <w:jc w:val="center"/>
            </w:pPr>
            <w:r>
              <w:rPr>
                <w:b w:val="0"/>
                <w:color w:val="000000"/>
                <w:sz w:val="20"/>
              </w:rPr>
              <w:t>0</w:t>
            </w:r>
          </w:p>
        </w:tc>
        <w:tc>
          <w:tcPr>
            <w:tcW w:type="dxa" w:w="2304"/>
            <w:vAlign w:val="center"/>
            <w:tcMar>
              <w:top w:w="65" w:type="dxa"/>
              <w:left w:w="85" w:type="dxa"/>
              <w:bottom w:w="65" w:type="dxa"/>
              <w:right w:w="85" w:type="dxa"/>
            </w:tcMar>
            <w:shd w:fill="F5F7FA"/>
          </w:tcPr>
          <w:p>
            <w:pPr>
              <w:spacing w:after="20" w:before="20" w:line="240" w:lineRule="auto"/>
              <w:jc w:val="center"/>
            </w:pPr>
            <w:r>
              <w:rPr>
                <w:b w:val="0"/>
                <w:color w:val="000000"/>
                <w:sz w:val="20"/>
              </w:rPr>
              <w:t>51</w:t>
            </w:r>
          </w:p>
        </w:tc>
        <w:tc>
          <w:tcPr>
            <w:tcW w:type="dxa" w:w="2016"/>
            <w:vAlign w:val="center"/>
            <w:tcMar>
              <w:top w:w="65" w:type="dxa"/>
              <w:left w:w="85" w:type="dxa"/>
              <w:bottom w:w="65" w:type="dxa"/>
              <w:right w:w="85" w:type="dxa"/>
            </w:tcMar>
            <w:shd w:fill="F5F7FA"/>
          </w:tcPr>
          <w:p>
            <w:pPr>
              <w:spacing w:after="20" w:before="20" w:line="240" w:lineRule="auto"/>
              <w:jc w:val="center"/>
            </w:pPr>
            <w:r>
              <w:rPr>
                <w:b w:val="0"/>
                <w:color w:val="000000"/>
                <w:sz w:val="20"/>
              </w:rPr>
              <w:t>86</w:t>
            </w:r>
          </w:p>
        </w:tc>
        <w:tc>
          <w:tcPr>
            <w:tcW w:type="dxa" w:w="2592"/>
            <w:vAlign w:val="center"/>
            <w:tcMar>
              <w:top w:w="65" w:type="dxa"/>
              <w:left w:w="85" w:type="dxa"/>
              <w:bottom w:w="65" w:type="dxa"/>
              <w:right w:w="85" w:type="dxa"/>
            </w:tcMar>
            <w:shd w:fill="F5F7FA"/>
          </w:tcPr>
          <w:p>
            <w:pPr>
              <w:spacing w:after="20" w:before="20" w:line="240" w:lineRule="auto"/>
              <w:jc w:val="center"/>
            </w:pPr>
            <w:r>
              <w:rPr>
                <w:b w:val="0"/>
                <w:color w:val="000000"/>
                <w:sz w:val="20"/>
              </w:rPr>
              <w:t>137</w:t>
            </w:r>
          </w:p>
        </w:tc>
      </w:tr>
    </w:tbl>
    <w:p>
      <w:pPr>
        <w:spacing w:after="0"/>
      </w:pPr>
    </w:p>
    <w:p>
      <w:r>
        <w:t>[machine-checked] The successor proposal and agreement alone cost the members 337 units and Dara 86. Under R10 the corresponding costs are 205 and 67. These costs exceed the zero marginal filtering charge in this supplied Q4 controller. The full R11 sequence above totals 653 units across all participants; four subsequent fulfilled actions add 93.</w:t>
      </w:r>
    </w:p>
    <w:p>
      <w:r>
        <w:t>[machine-checked] A control starting immediately after initial organization preparation, with no extraction episode and zero extra practice runs, obtains the same four-member agreement and fulfilled cycle. The initial training already supplies the required practice. The engine requires sufficient owned evidence and exact consent. It does not infer that Dara's motives have changed, and paid consent alone is not a demonstrated safeguard against later defection.</w:t>
      </w:r>
    </w:p>
    <w:p>
      <w:r>
        <w:t>[machine-checked] Preparation, evidence acquisition, replies and routine practice are all paid. Restoration is an additional expense in this experiment. [open] A universal inequality between restoration and every form of containment is unestablished because detection and sanction mechanisms were not varied.</w:t>
      </w:r>
    </w:p>
    <w:p>
      <w:pPr>
        <w:pStyle w:val="Heading1"/>
      </w:pPr>
      <w:r>
        <w:t>Reproduction and evidence</w:t>
      </w:r>
    </w:p>
    <w:p>
      <w:r>
        <w:t>[machine-checked] Both complete release manifests were checked: 151 R10 entries and 168 R11 entries. The repository includes all 40 R10 and 42 R11 runtime modules, byte-identical to those manifests. R11 also matches the 42-module runtime in the holon-meaning package. No production engine change or new R12 milestone is introduced.</w:t>
      </w:r>
    </w:p>
    <w:p>
      <w:r>
        <w:t>[machine-checked] All 353 tests in the recovered complete R11 release passed, module by module with explicit timeouts. The ten additional study checks passed. The paired panel contains 1216 simulation cases excluding analytical base fixtures and historical-probe worlds, 4096 independent reception-cost comparisons and 4096 element-preservation checks. Full repeated execution with Python hash seed 19 reproduces both JSON outputs byte for byte. The included gzip snapshots decompress to those verified outputs; fresh executions write plain JSON. Results include operation-level wallet reconciliation and attained activation. Costs are abstract quanta, not runtime or calibrated human effort.</w:t>
      </w:r>
    </w:p>
    <w:p>
      <w:r>
        <w:t>[bridge] The protocol was recorded before the full panel, after source inspection; two development fixtures informed harness construction. It is a declared deterministic protocol, not a blind preregistration.</w:t>
      </w:r>
    </w:p>
    <w:p>
      <w:r>
        <w:t>[machine-checked] Run the following from the repository root with Python 3.12 or later and no third-party packages:</w:t>
      </w:r>
    </w:p>
    <w:p>
      <w:pPr>
        <w:spacing w:after="20"/>
      </w:pPr>
      <w:r>
        <w:rPr>
          <w:rFonts w:ascii="DejaVu Sans Mono" w:hAnsi="DejaVu Sans Mono"/>
          <w:sz w:val="18"/>
        </w:rPr>
        <w:t>python verify_sources.py</w:t>
      </w:r>
    </w:p>
    <w:p>
      <w:pPr>
        <w:spacing w:after="20"/>
      </w:pPr>
      <w:r>
        <w:rPr>
          <w:rFonts w:ascii="DejaVu Sans Mono" w:hAnsi="DejaVu Sans Mono"/>
          <w:sz w:val="18"/>
        </w:rPr>
        <w:t>python run_studies.py --out results</w:t>
      </w:r>
    </w:p>
    <w:p>
      <w:pPr>
        <w:spacing w:after="20"/>
      </w:pPr>
      <w:r>
        <w:rPr>
          <w:rFonts w:ascii="DejaVu Sans Mono" w:hAnsi="DejaVu Sans Mono"/>
          <w:sz w:val="18"/>
        </w:rPr>
        <w:t>python -m unittest discover -s tests -v</w:t>
      </w:r>
    </w:p>
    <w:p>
      <w:r>
        <w:t>R11 release manifest SHA-256:</w:t>
      </w:r>
    </w:p>
    <w:p>
      <w:r>
        <w:rPr>
          <w:rFonts w:ascii="DejaVu Sans Mono" w:hAnsi="DejaVu Sans Mono"/>
          <w:sz w:val="18"/>
        </w:rPr>
        <w:t>2457e439f3f1526f9d181a7b78def98e8a77593c440d29e2cbb7ec24c5e103d3</w:t>
      </w:r>
    </w:p>
    <w:p>
      <w:r>
        <w:t>R10 release manifest SHA-256:</w:t>
      </w:r>
    </w:p>
    <w:p>
      <w:r>
        <w:rPr>
          <w:rFonts w:ascii="DejaVu Sans Mono" w:hAnsi="DejaVu Sans Mono"/>
          <w:sz w:val="18"/>
        </w:rPr>
        <w:t>2150b59e364bf1e4e1ee67f2979b3d8bc997e6006870da5fb54f330583212f8a</w:t>
      </w:r>
    </w:p>
    <w:p>
      <w:r>
        <w:t>[open] Psychological calibration, autonomous response selection, motive recognition, learned sanctions, repeated material supply, later reoffending, developmental closure and Shell clearance are outside these results. The holon-meaning controller is not used.</w:t>
      </w:r>
    </w:p>
    <w:p>
      <w:pPr>
        <w:pStyle w:val="Heading1"/>
      </w:pPr>
      <w:r>
        <w:t>References</w:t>
      </w:r>
    </w:p>
    <w:p>
      <w:pPr>
        <w:keepNext/>
        <w:keepLines/>
        <w:spacing w:line="240" w:lineRule="auto" w:after="80"/>
      </w:pPr>
      <w:r>
        <w:rPr>
          <w:sz w:val="20"/>
        </w:rPr>
        <w:t xml:space="preserve">1. @unicorn.lo. </w:t>
      </w:r>
      <w:r>
        <w:rPr>
          <w:i/>
          <w:sz w:val="20"/>
        </w:rPr>
        <w:t>The Malice Matrix: Game-Theoretic Containment of Systemic Defection</w:t>
      </w:r>
      <w:r>
        <w:rPr>
          <w:sz w:val="20"/>
        </w:rPr>
        <w:t>. Supplied DOCX, undated. Title, author handle, text and embedded equations were inspected. The file hash is recorded in sources/provenance.json. The full paper is not redistributed.</w:t>
      </w:r>
    </w:p>
    <w:p>
      <w:pPr>
        <w:keepNext/>
        <w:keepLines/>
        <w:spacing w:line="240" w:lineRule="auto" w:after="80"/>
      </w:pPr>
      <w:r>
        <w:rPr>
          <w:sz w:val="20"/>
        </w:rPr>
        <w:t xml:space="preserve">2. </w:t>
      </w:r>
      <w:r>
        <w:rPr>
          <w:i/>
          <w:sz w:val="20"/>
        </w:rPr>
        <w:t>Session brief rerun the Malice Matrix study against HLE R11</w:t>
      </w:r>
      <w:r>
        <w:rPr>
          <w:sz w:val="20"/>
        </w:rPr>
        <w:t>, 17 September 2026. Source of the policy questions and publication scope. The executable protocol specifies the present experiment.</w:t>
      </w:r>
    </w:p>
    <w:p>
      <w:pPr>
        <w:keepNext/>
        <w:keepLines/>
        <w:spacing w:line="240" w:lineRule="auto" w:after="80"/>
      </w:pPr>
      <w:r>
        <w:rPr>
          <w:sz w:val="20"/>
        </w:rPr>
        <w:t xml:space="preserve">3. </w:t>
      </w:r>
      <w:r>
        <w:rPr>
          <w:i/>
          <w:sz w:val="20"/>
        </w:rPr>
        <w:t>HolonicLivingEngine Rebuild R10</w:t>
      </w:r>
      <w:r>
        <w:rPr>
          <w:sz w:val="20"/>
        </w:rPr>
        <w:t xml:space="preserve">, version 1.0.0, and </w:t>
      </w:r>
      <w:r>
        <w:rPr>
          <w:i/>
          <w:sz w:val="20"/>
        </w:rPr>
        <w:t>HolonicLivingEngine Rebuild R11</w:t>
      </w:r>
      <w:r>
        <w:rPr>
          <w:sz w:val="20"/>
        </w:rPr>
        <w:t>, version 1.1.0. Engine functions in hle/socion.py and hle/processing.py define reception and prices; R11 hle/semantic.py defines operation targets. The operation mappings and prices are implementation hypotheses.</w:t>
      </w:r>
    </w:p>
    <w:p>
      <w:pPr>
        <w:keepNext w:val="0"/>
        <w:keepLines/>
        <w:spacing w:line="240" w:lineRule="auto" w:after="80"/>
      </w:pPr>
      <w:r>
        <w:rPr>
          <w:sz w:val="20"/>
        </w:rPr>
        <w:t xml:space="preserve">4. </w:t>
      </w:r>
      <w:r>
        <w:rPr>
          <w:i/>
          <w:sz w:val="20"/>
        </w:rPr>
        <w:t>HolonicLivingEngine 5.2.1 canon</w:t>
      </w:r>
      <w:r>
        <w:rPr>
          <w:sz w:val="20"/>
        </w:rPr>
        <w:t>, metabolism/exchange.py. Source of directed relation names. Its 256 pair labels and permutations were extracted and checked against the rebuild; the source file hash is retained.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HLE R11 study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Malice Matrix studies in HLE R11</dc:title>
  <dc:subject>Policy outcomes and attention costs in HLE R11</dc:subject>
  <dc:creator>HLE study contributors</dc:creator>
  <cp:keywords/>
  <dc:description>generated by python-docx</dc:description>
  <cp:lastModifiedBy/>
  <cp:revision>1</cp:revision>
  <dcterms:created xsi:type="dcterms:W3CDTF">2013-12-23T23:15:00Z</dcterms:created>
  <dcterms:modified xsi:type="dcterms:W3CDTF">2013-12-23T23:15:00Z</dcterms:modified>
  <cp:category/>
</cp:coreProperties>
</file>