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Georgia" w:cs="Georgia" w:eastAsia="Georgia" w:hAnsi="Georgia"/>
          <w:b/>
          <w:bCs/>
          <w:color w:val="1F3346"/>
          <w:sz w:val="52"/>
          <w:szCs w:val="52"/>
        </w:rPr>
        <w:t xml:space="preserve">A Fresh Perspective on Disorder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2E4B63"/>
          <w:sz w:val="26"/>
          <w:szCs w:val="26"/>
        </w:rPr>
        <w:t xml:space="preserve">Compensatory Distortion as Expectation, Boundary, and Material</w:t>
      </w:r>
    </w:p>
    <w:p>
      <w:pPr>
        <w:spacing w:after="480"/>
        <w:jc w:val="center"/>
      </w:pPr>
      <w:r>
        <w:rPr>
          <w:rFonts w:ascii="Georgia" w:cs="Georgia" w:eastAsia="Georgia" w:hAnsi="Georgia"/>
          <w:color w:val="5B6B77"/>
          <w:sz w:val="21"/>
          <w:szCs w:val="21"/>
        </w:rPr>
        <w:t xml:space="preserve">A synthesis under the Holonic Living Engine (kernel 5.2) — Version 1.0</w:t>
      </w:r>
    </w:p>
    <w:tbl>
      <w:tblPr>
        <w:tblW w:type="dxa" w:w="9360"/>
        <w:tblBorders>
          <w:top w:val="single" w:color="B8C4CE" w:sz="4"/>
          <w:left w:val="single" w:color="2E4B63" w:sz="12"/>
          <w:bottom w:val="single" w:color="B8C4CE" w:sz="4"/>
          <w:right w:val="single" w:color="B8C4C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Thesis.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Under this theory, compensatory cognitive distortions are expected, necessary at developmental boundaries, and the path forward — where "path forward" means conversion, not defeat. Each of the three claims carries a different epistemic grade, and this document keeps the grades apart.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8C4CE" w:sz="4"/>
          <w:left w:val="single" w:color="2E4B63" w:sz="12"/>
          <w:bottom w:val="single" w:color="B8C4CE" w:sz="4"/>
          <w:right w:val="single" w:color="B8C4C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Scope and status.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This is a formal-model document, not a clinical one. The disorder vocabulary is elected from source tables; every psychological reading herein is [interpretive] and non-load-bearing for the algebra. Nothing in this document diagnoses, treats, or describes any person.</w:t>
            </w:r>
          </w:p>
        </w:tc>
      </w:tr>
    </w:tbl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1. Purpose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word "disorder" ordinarily names a defect: a deviation from a healthy norm, located in a person, to be removed. The framework assembled across the Topographical Atlas of Transformation v0.1, Unified Shell Geometry and Developmental Dynamics v1.1, and the sealed 5.2 kernel supports a different reading. In this reading a distortion is a position on a terrain, arriving on a schedule, maintained at a price, marking a boundary, and carrying material. This document states that reading as three claims, gives each claim its formal ground and its epistemic grade, and records what would falsify it.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sentence being documented is: compensatory cognitive distortions are expected, necessary, and the path forward that must be overcome. The framework endorses a corrected form: expected (with an ordering prediction), necessary at altitude boundaries (definitionally), and the path forward that must be converted (transport, not erasure). The correction in the third clause is not a softening; it is what the algebra and the engine both say.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2. The Formal Substrate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claims rest on a small fixed structure, restated here without proof. Provenance for each element is given in Section 8.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2.1 The terrain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Each of the sixteen types seats the eight information elements at the eight corners of a cube with three locked binary coordinates: directive a (accepting/producing), tonicity v (valued/subdued), and consciousness ring r (mental/vital). Each element carries a source-elected disorder label — avoidant, dissociative, schizoid, dependent, passive-aggressive, grandiose narcissism, ambivalent paranoia, antisocial. The distortion at a position is fully determined:</w:t>
      </w:r>
    </w:p>
    <w:p>
      <w:pPr>
        <w:spacing w:after="200" w:before="120"/>
        <w:jc w:val="center"/>
      </w:pPr>
      <w:r>
        <w:rPr>
          <w:rFonts w:ascii="Consolas" w:cs="Consolas" w:eastAsia="Consolas" w:hAnsi="Consolas"/>
          <w:color w:val="1F3346"/>
          <w:sz w:val="21"/>
          <w:szCs w:val="21"/>
        </w:rPr>
        <w:t xml:space="preserve">distortion(T, p) = DISORDER[element_at(T, p)]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2.2 The clock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Time moves through the terrain as the estafette E, which divides the eight positions into two four-step circular trails: a valued lap and a subdued lap. On both laps the directive bits occur in the order 0, 0, 1, 1 — two accepting steps, then two producing steps. This is the same anabolic/catabolic 2+2 rhythm measured as the V5.2 pure finding, here following from cube geometry rather than a separate rule.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2.3 The three portages</w:t>
      </w:r>
    </w:p>
    <w:tbl>
      <w:tblPr>
        <w:tblW w:type="dxa" w:w="9360"/>
        <w:tblBorders>
          <w:top w:val="single" w:color="B8C4CE" w:sz="4"/>
          <w:left w:val="single" w:color="B8C4CE" w:sz="4"/>
          <w:bottom w:val="single" w:color="B8C4CE" w:sz="4"/>
          <w:right w:val="single" w:color="B8C4CE" w:sz="4"/>
          <w:insideH w:val="single" w:color="CBD5DC" w:sz="2"/>
          <w:insideV w:val="single" w:color="CBD5DC" w:sz="2"/>
        </w:tblBorders>
      </w:tblPr>
      <w:tblGrid>
        <w:gridCol w:w="2000"/>
        <w:gridCol w:w="1500"/>
        <w:gridCol w:w="2900"/>
        <w:gridCol w:w="2960"/>
      </w:tblGrid>
      <w:tr>
        <w:trPr>
          <w:tblHeader/>
        </w:trPr>
        <w:tc>
          <w:tcPr>
            <w:tcW w:type="dxa" w:w="20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Portage</w:t>
            </w:r>
          </w:p>
        </w:tc>
        <w:tc>
          <w:tcPr>
            <w:tcW w:type="dxa" w:w="15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9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W w:type="dxa" w:w="296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Time symmetry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n — compensation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+(0,1,0)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Flips tonicity; holds ring</w:t>
            </w:r>
          </w:p>
        </w:tc>
        <w:tc>
          <w:tcPr>
            <w:tcW w:type="dxa" w:w="2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Commutes with the clock: nEn = E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cp — individuation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+(0,0,1)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Crosses ring; holds tonicity</w:t>
            </w:r>
          </w:p>
        </w:tc>
        <w:tc>
          <w:tcPr>
            <w:tcW w:type="dxa" w:w="2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Reverses the clock: cp E cp = E⁻¹</w:t>
            </w:r>
          </w:p>
        </w:tc>
      </w:tr>
      <w:tr>
        <w:tc>
          <w:tcPr>
            <w:tcW w:type="dxa" w:w="2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 — opposition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+(0,1,1)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Flips tonicity and ring</w:t>
            </w:r>
          </w:p>
        </w:tc>
        <w:tc>
          <w:tcPr>
            <w:tcW w:type="dxa" w:w="2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Reverses the clock: a E a = E⁻¹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Two terrain theorems constrain everything below. First: no portage changes the directive coordinate; only the estafette carries content across the accepting/producing divide. Second: compensation n is the unique portage that commutes with the clock; individuation and opposition both reverse it.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2.4 The Shell and its observables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A Shell is a self-maintaining distortion of an otherwise coherent movement. It is not simply failure: the system can reach the correct destination and preserve an acceptable external form; the distortion lies in the internal path required to keep producing that form. OIG observes the trajectory through cumulative visibility V, net endpoint visibility N, cancellation K = V \ N, and the recurrence profile R. The Shell detector is joint and demand-conditioned:</w:t>
      </w:r>
    </w:p>
    <w:p>
      <w:pPr>
        <w:spacing w:after="200" w:before="120"/>
        <w:jc w:val="center"/>
      </w:pPr>
      <w:r>
        <w:rPr>
          <w:rFonts w:ascii="Consolas" w:cs="Consolas" w:eastAsia="Consolas" w:hAnsi="Consolas"/>
          <w:color w:val="1F3346"/>
          <w:sz w:val="21"/>
          <w:szCs w:val="21"/>
        </w:rPr>
        <w:t xml:space="preserve">D_Shell = (D, Π_C, Π_O) = (D, (o, d, p, S), (V, N, K, R))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demand clause is load-bearing. Rest (no demand, native self-route running) and foreclosure (demand present, required movement not initiated) are indistinguishable from the OIG projection alone.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3. Claim One: Distortion Is Expected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expectation claim comes in two strengths, and the framework delivers both.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3.1 Totality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By the central formula, every type carries a disorder label at every corner of its terrain. There is no distortion-free position and no distortion-free type. A system that shows compensatory distortion is not malfunctioning relative to the model; it is exhibiting the model. Under this theory the absence of any distortion anywhere would be the anomaly.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3.2 Ordering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Totality alone would be too cheap — a theory that predicts distortion-in-general confirms on every observation. The Atlas upgrades expectation to an ordering claim: each type has an ordered distortion itinerary, because the clock tours that type’s terrain in a fixed sequence, and a distortion attributed to a seat should surface at that seat’s lap step. The prediction is position-specific, sequence-specific, and per-type, generated exhaustively for all sixteen types. This is the content that keeps Claim One falsifiable: the theory does not merely predict that distortion appears, but which, where, when, and in what order.</w:t>
      </w:r>
    </w:p>
    <w:tbl>
      <w:tblPr>
        <w:tblW w:type="dxa" w:w="9360"/>
        <w:tblBorders>
          <w:top w:val="single" w:color="B8C4CE" w:sz="4"/>
          <w:left w:val="single" w:color="2E4B63" w:sz="12"/>
          <w:bottom w:val="single" w:color="B8C4CE" w:sz="4"/>
          <w:right w:val="single" w:color="B8C4C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Grade.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Totality is derived given the elected disorder tables. The ordering prediction is derived from locked coordinates and exhibited by probe (22/22 reported). The reading of the labels as psychological phenomena is [interpretive] and non-load-bearing.</w:t>
            </w:r>
          </w:p>
        </w:tc>
      </w:tr>
    </w:tbl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4. Claim Two: Distortion Is Necessary — at Boundaries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necessity claim is where an unqualified reading would overreach, and the framework itself supplies the qualification.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4.1 What does not require distortion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ground state — the native self-route of the current holon, running on two strong valued functions at displacement 00 — is free and non-pathological. Horizontal adaptation likewise proceeds without Shell: when the conductive set C(H, D) is non-empty, the current holon meets the demand by changing route, polarity, timing, or strategy, with no persistent distortion and no altitude change. Compensation is therefore not necessary for functioning. A theory that made every act compensatory would have dissolved the concept.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4.2 What does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Altitude is different. The developmental boundary is defined by the exhaustion of the conductive set:</w:t>
      </w:r>
    </w:p>
    <w:p>
      <w:pPr>
        <w:spacing w:after="200" w:before="120"/>
        <w:jc w:val="center"/>
      </w:pPr>
      <w:r>
        <w:rPr>
          <w:rFonts w:ascii="Consolas" w:cs="Consolas" w:eastAsia="Consolas" w:hAnsi="Consolas"/>
          <w:color w:val="1F3346"/>
          <w:sz w:val="21"/>
          <w:szCs w:val="21"/>
        </w:rPr>
        <w:t xml:space="preserve">C(H_k, D) = ∅  →  H_(k+1) = min { H′ &gt; H_k : C(H′, D) ≠ ∅ }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A true altitude boundary appears exactly when the complete available organization cannot meet the active demand without persistent Shell distortion. The boundary is the compensatory regime; there is no route to increased altitude that does not pass through it. The unified developmental law then makes compensation the raw material rather than the obstacle:</w:t>
      </w:r>
    </w:p>
    <w:tbl>
      <w:tblPr>
        <w:tblW w:type="dxa" w:w="9360"/>
        <w:tblBorders>
          <w:top w:val="single" w:color="B8C4CE" w:sz="4"/>
          <w:left w:val="single" w:color="2E4B63" w:sz="12"/>
          <w:bottom w:val="single" w:color="B8C4CE" w:sz="4"/>
          <w:right w:val="single" w:color="B8C4C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Unified developmental law.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Development is the recursive conversion of compensatory possibility into retained coherent capacity.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4.3 The grade distinction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Two different kinds of claim are folded into "necessary," and they must be tagged separately. That vertical development passes through the Shell is definitional: the boundary is defined by Shell-or-failure, and development is defined as conversion of compensatory possibility. "Compensation is necessary for development" is therefore analytic within the model — true by construction, not by proof. The genuinely derived contribution sits elsewhere: compensation n is the unique clock-commuting portage, which is why a Shell’s maintenance route is time-invariant and why distortions persist. Persistence is theorem-grade; necessity-for-development is definitional; the psychological reading of both is [interpretive]. The synthetic, testable content of Claim Two lives in the observables of Section 6.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5. Claim Three: The Path Forward Is Conversion, Not Defeat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original sentence ends "that must be overcome." Both governing documents reject the erasure reading of that verb, and the engine now enforces the rejection at the mechanism level.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5.1 Transport, not erasure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Atlas states the unwinding move exactly: the model re-aims from the n-image of a seat to the cp-image of the same seat, against the lap. Unwinding is transport. The distortion is not deleted from the terrain — nothing can be, since the terrain is total — its maintenance route is exchanged for the individuation crossing, and its content is carried across the mental/vital ring. Shell Geometry says the same at the developmental scale: Shell clearance rather than Shell suppression; integration means crossing into the complement and returning carrying it; the lower holon does not disappear but becomes a constituent of the higher one.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5.2 The retention gate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engine makes the carried trace mechanical rather than metaphorical. The refined A23 gate reads: the relay drops to the Super-Ego under pressure only while the complement is not retained. The post-closure state is distinguished precisely by what it retains of the material the compensatory regime carried, and the verification suite checks textually that the tick contains no altitude branch — development changes the balance only through what the tower has retained. If overcoming meant erasure, retention would be empty and the gate could never close.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2E4B63"/>
          <w:sz w:val="25"/>
          <w:szCs w:val="25"/>
        </w:rPr>
        <w:t xml:space="preserve">5.3 The cost, derived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deepest structural result under Claim Three is the time asymmetry of the portages. Maintenance commutes with the clock; transformation reverses it. A Shell is cheap because its upkeep runs with traffic — each lap encounters the compensated relation in the same orientation. Individuation is expensive because it runs against the lap. Combined with the first terrain theorem — no portage crosses the accepting/producing divide; only the estafette does — this yields a claim with no interpretive dressing required: transformation cannot be performed instantaneously by any symmetry operation of the model. Content that must change directive has to be lived through the clock. This is a formal skeleton under the old clinical observation that insight alone does not cure.</w:t>
      </w:r>
    </w:p>
    <w:tbl>
      <w:tblPr>
        <w:tblW w:type="dxa" w:w="9360"/>
        <w:tblBorders>
          <w:top w:val="single" w:color="B8C4CE" w:sz="4"/>
          <w:left w:val="single" w:color="2E4B63" w:sz="12"/>
          <w:bottom w:val="single" w:color="B8C4CE" w:sz="4"/>
          <w:right w:val="single" w:color="B8C4C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5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Corrected thesis. </w:t>
            </w:r>
            <w:r>
              <w:rPr>
                <w:rFonts w:ascii="Georgia" w:cs="Georgia" w:eastAsia="Georgia" w:hAnsi="Georgia"/>
                <w:sz w:val="22"/>
                <w:szCs w:val="22"/>
              </w:rPr>
              <w:t xml:space="preserve">Expected — with a per-type ordering prediction. Necessary — definitionally, at altitude boundaries, and only there. Converted, not overcome — by an exact move (n-image → cp-image, against the lap) at an exact cost (reversal of time), with retention of the carried material as the closure condition.</w:t>
            </w:r>
          </w:p>
        </w:tc>
      </w:tr>
    </w:tbl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6. What Would Falsify This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The reframe earns nothing if it cannot fail. Three observables carry the synthetic content.</w:t>
      </w:r>
    </w:p>
    <w:tbl>
      <w:tblPr>
        <w:tblW w:type="dxa" w:w="9360"/>
        <w:tblBorders>
          <w:top w:val="single" w:color="B8C4CE" w:sz="4"/>
          <w:left w:val="single" w:color="B8C4CE" w:sz="4"/>
          <w:bottom w:val="single" w:color="B8C4CE" w:sz="4"/>
          <w:right w:val="single" w:color="B8C4CE" w:sz="4"/>
          <w:insideH w:val="single" w:color="CBD5DC" w:sz="2"/>
          <w:insideV w:val="single" w:color="CBD5DC" w:sz="2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Observable</w:t>
            </w:r>
          </w:p>
        </w:tc>
        <w:tc>
          <w:tcPr>
            <w:tcW w:type="dxa" w:w="39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Prediction</w:t>
            </w:r>
          </w:p>
        </w:tc>
        <w:tc>
          <w:tcPr>
            <w:tcW w:type="dxa" w:w="366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Ordering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 seat’s attributed distortion surfaces at that seat’s lap step, in the itinerary order fixed per type.</w:t>
            </w:r>
          </w:p>
        </w:tc>
        <w:tc>
          <w:tcPr>
            <w:tcW w:type="dxa" w:w="3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Distortions surface off-schedule, or itineraries do not differ by type as charted.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Boundary signature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At altitude boundaries: V high, N limited, K ≠ ∅, with recurrent Shell structure; absent at horizontal adaptation.</w:t>
            </w:r>
          </w:p>
        </w:tc>
        <w:tc>
          <w:tcPr>
            <w:tcW w:type="dxa" w:w="3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The signature appears equally under conductive realization, or fails to appear at boundaries.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Post-closure relief</w:t>
            </w:r>
          </w:p>
        </w:tc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After integration, the same demand requires less compensatory trajectory complexity, less cancellation, less Shell recurrence, greater retained complementary capacity.</w:t>
            </w:r>
          </w:p>
        </w:tc>
        <w:tc>
          <w:tcPr>
            <w:tcW w:type="dxa" w:w="36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Closure without reduction in compensatory cost, or reduction without retention.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All three are stated by the sources as testable under specified conditions without new assumptions. None has yet been tested against human data; until then, the empirical column of this theory is a set of commitments, not results.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7. The Fresh Perspective, Stated Plainly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What changes if the three claims hold? Five properties of "disorder" invert. It is positional, not essential: a distortion is where content sits on a terrain, not what a system is. It is scheduled, not random: it surfaces at its lap step, and the itinerary differs by type. It is priced, not gratuitous: it persists because its maintenance is the one time-invariant route, which makes persistence rational rather than perverse. It is informative, not merely obstructive: a persistent Shell under demand marks the exact boundary where the current organization ends and the next closure must be found — it is the most precise instrument the system has for locating its own developmental edge. And it is material, not waste: the compensatory regime carries the content that the higher closure retains; discard it and there is nothing to convert.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None of this romanticizes distortion. The framework is equally explicit about the unhealthy trajectory: high cumulative activity with little retained transformation, correct endpoints reached through ever-longer compensatory paths, rising Shell intensity without clearance. The perspective is fresh not because it declares distortion good, but because it declares it legible — expected on a schedule, necessary at a boundary, and convertible by a move whose direction and cost the algebra states exactly.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8. Status Ledger</w:t>
      </w:r>
    </w:p>
    <w:tbl>
      <w:tblPr>
        <w:tblW w:type="dxa" w:w="9360"/>
        <w:tblBorders>
          <w:top w:val="single" w:color="B8C4CE" w:sz="4"/>
          <w:left w:val="single" w:color="B8C4CE" w:sz="4"/>
          <w:bottom w:val="single" w:color="B8C4CE" w:sz="4"/>
          <w:right w:val="single" w:color="B8C4CE" w:sz="4"/>
          <w:insideH w:val="single" w:color="CBD5DC" w:sz="2"/>
          <w:insideV w:val="single" w:color="CBD5DC" w:sz="2"/>
        </w:tblBorders>
      </w:tblPr>
      <w:tblGrid>
        <w:gridCol w:w="5860"/>
        <w:gridCol w:w="3500"/>
      </w:tblGrid>
      <w:tr>
        <w:trPr>
          <w:tblHeader/>
        </w:trPr>
        <w:tc>
          <w:tcPr>
            <w:tcW w:type="dxa" w:w="586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Claim</w:t>
            </w:r>
          </w:p>
        </w:tc>
        <w:tc>
          <w:tcPr>
            <w:tcW w:type="dxa" w:w="3500"/>
            <w:shd w:fill="E7ED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Terrain totality: every type seats a disorder at every position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Derived, given elected disorder tables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2+2 anabolic/catabolic rhythm on both laps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 from cube geometry; matches V5.2 pure finding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n uniquely commutes with the clock; cp and a reverse it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 (terrain theorem)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No portage crosses the directive; only the estafette does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 (terrain theorem)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Persistence of distortion via time-invariant maintenance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Derived; reading interpretive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Necessity of compensation for altitude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Definitional (boundary and development so defined)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Unwinding as n-image → cp-image transport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Model-specified; exhibited by probe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Retention gate (A23 refined); no altitude branch in tick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Implemented and verified in kernel 5.2 suites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Ordering, boundary-signature, and relief predictions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Stated testable; untested against human data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Disorder labels as psychological phenomena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[Interpretive]; non-load-bearing</w:t>
            </w:r>
          </w:p>
        </w:tc>
      </w:tr>
      <w:tr>
        <w:tc>
          <w:tcPr>
            <w:tcW w:type="dxa" w:w="58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This document’s reframe of "disorder"</w:t>
            </w:r>
          </w:p>
        </w:tc>
        <w:tc>
          <w:tcPr>
            <w:tcW w:type="dxa" w:w="3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[Interpretive]; stands or falls with Section 6</w:t>
            </w:r>
          </w:p>
        </w:tc>
      </w:tr>
    </w:tbl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9. Open Items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Carried forward without resolution, in the tradition of recording rather than repairing. The probe probe_distortion_topography.py is cited as provenance (22/22) but does not travel with the canon zip; it should ship alongside the kernel or be pinned by hash for the topography results to be reproducible from the release. The mapping from individual Crux Shell signs to specific K and R patterns remains to be derived; until it exists, the joint detector is specified only at the interface level. The Si compulsion-versus-paranoia inconsistency remains exactly as recorded in the elected tables and touches one row of the dyad calculus on which the ordering prediction depends. Mode-pair polarity remains an open election. The disorder vocabulary itself is an election, not a derivation; a different elected table would relabel the terrain without changing the theorems.</w:t>
      </w:r>
    </w:p>
    <w:p>
      <w:pPr>
        <w:pStyle w:val="Heading1"/>
        <w:spacing w:after="200" w:before="360"/>
      </w:pPr>
      <w:r>
        <w:rPr>
          <w:rFonts w:ascii="Georgia" w:cs="Georgia" w:eastAsia="Georgia" w:hAnsi="Georgia"/>
          <w:b/>
          <w:bCs/>
          <w:color w:val="1F3346"/>
          <w:sz w:val="30"/>
          <w:szCs w:val="30"/>
        </w:rPr>
        <w:t xml:space="preserve">10. Provenance</w:t>
      </w:r>
    </w:p>
    <w:p>
      <w:pPr>
        <w:spacing w:after="160" w:line="300"/>
      </w:pPr>
      <w:r>
        <w:rPr>
          <w:rFonts w:ascii="Georgia" w:cs="Georgia" w:eastAsia="Georgia" w:hAnsi="Georgia"/>
          <w:sz w:val="22"/>
          <w:szCs w:val="22"/>
        </w:rPr>
        <w:t xml:space="preserve">Kernel: HolonicLivingEngine5_2_canon.zip; sealed pyref imported read-only. Terrain, portages, itineraries, and dyad calculus: A Topographical Atlas of Transformation, Version 0.1 Readable Edition, exhibited by probe_distortion_topography.py (22/22 reported; see Open Items). Shell, conductivity, altitude rule, unified law, health criteria, and observables: Unified Shell Geometry and Developmental Dynamics, Readable Edition of Version 1.1. Pure finding, relay firing policy, retention gate, and no-altitude-branch check: NOTE_V5_2. Coordinate semantics: algebra/archetype.py and the locked POS_COORD. All [interpretive] readings remain non-load-bearing for the algebra.</w:t>
      </w:r>
    </w:p>
    <w:p>
      <w:pPr>
        <w:spacing w:after="0" w:before="300"/>
        <w:jc w:val="center"/>
      </w:pPr>
      <w:r>
        <w:rPr>
          <w:rFonts w:ascii="Georgia" w:cs="Georgia" w:eastAsia="Georgia" w:hAnsi="Georgia"/>
          <w:i/>
          <w:iCs/>
          <w:color w:val="5B6B77"/>
          <w:sz w:val="19"/>
          <w:szCs w:val="19"/>
        </w:rPr>
        <w:t xml:space="preserve">A Fresh Perspective on Disorder —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2026-08-28T19:00:53.666Z</dcterms:created>
  <dcterms:modified xsi:type="dcterms:W3CDTF">2026-08-28T19:00:53.681Z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