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rFonts w:ascii="Georgia" w:cs="Georgia" w:eastAsia="Georgia" w:hAnsi="Georgia"/>
          <w:b/>
          <w:bCs/>
          <w:sz w:val="52"/>
          <w:szCs w:val="52"/>
        </w:rPr>
        <w:t xml:space="preserve">The Kindred Fold</w:t>
      </w:r>
    </w:p>
    <w:p>
      <w:pPr>
        <w:spacing w:after="120"/>
      </w:pPr>
      <w:r>
        <w:rPr>
          <w:rFonts w:ascii="Georgia" w:cs="Georgia" w:eastAsia="Georgia" w:hAnsi="Georgia"/>
          <w:i/>
          <w:iCs/>
          <w:sz w:val="26"/>
          <w:szCs w:val="26"/>
        </w:rPr>
        <w:t xml:space="preserve">A socionics–AQAL bridge, and what it says about content, statues, and the I–Its edge</w:t>
      </w:r>
    </w:p>
    <w:p>
      <w:pPr>
        <w:pBdr>
          <w:bottom w:val="single" w:color="999999" w:sz="6" w:space="8"/>
        </w:pBdr>
        <w:spacing w:after="60"/>
      </w:pPr>
      <w:r>
        <w:rPr>
          <w:rFonts w:ascii="Georgia" w:cs="Georgia" w:eastAsia="Georgia" w:hAnsi="Georgia"/>
          <w:color w:val="555555"/>
          <w:sz w:val="20"/>
          <w:szCs w:val="20"/>
        </w:rPr>
        <w:t xml:space="preserve">Working note v0.2 · 17 September 2026 (v0.1 16 September) · companion probes: kindred_fold_probes.py</w:t>
      </w:r>
    </w:p>
    <w:p>
      <w:pPr>
        <w:spacing w:after="400"/>
      </w:pPr>
    </w:p>
    <w:p>
      <w:pPr>
        <w:pStyle w:val="Heading1"/>
        <w:spacing w:after="160" w:before="400"/>
      </w:pPr>
      <w:r>
        <w:rPr>
          <w:rFonts w:ascii="Georgia" w:cs="Georgia" w:eastAsia="Georgia" w:hAnsi="Georgia"/>
          <w:b/>
          <w:bCs/>
          <w:sz w:val="30"/>
          <w:szCs w:val="30"/>
        </w:rPr>
        <w:t xml:space="preserve">0. Scope and conventions</w:t>
      </w:r>
    </w:p>
    <w:p>
      <w:pPr>
        <w:spacing w:after="160" w:line="300"/>
      </w:pPr>
      <w:r>
        <w:rPr>
          <w:rFonts w:ascii="Georgia" w:cs="Georgia" w:eastAsia="Georgia" w:hAnsi="Georgia"/>
          <w:sz w:val="22"/>
          <w:szCs w:val="22"/>
        </w:rPr>
        <w:t xml:space="preserve">This note records one session’s observations on a bridge between the four socionics clubs and Ken Wilber’s AQAL quadrants, and follows the bridge to its consequences for intertype relations, for the difference between content and presence, and for the ethics of making an interior inspectable. It ends where the session ended, on one sentence about the edge two kindred types share.</w:t>
      </w:r>
    </w:p>
    <w:p>
      <w:pPr>
        <w:spacing w:after="160" w:line="300"/>
      </w:pPr>
      <w:r>
        <w:rPr>
          <w:rFonts w:ascii="Georgia" w:cs="Georgia" w:eastAsia="Georgia" w:hAnsi="Georgia"/>
          <w:sz w:val="22"/>
          <w:szCs w:val="22"/>
        </w:rPr>
        <w:t xml:space="preserve">Status tags are used throughout: source_defined (standard socionics or AQAL material), bridge (a stipulated correspondence between the two frames), machine-checked (verified by the accompanying probes against standard type data), derived (follows from checked material), interpretive (a reading, not a result), open (unresolved), retraction (a claim withdrawn or narrowed during the session).</w:t>
      </w:r>
    </w:p>
    <w:p>
      <w:pPr>
        <w:spacing w:after="160" w:line="300"/>
      </w:pPr>
      <w:r>
        <w:rPr>
          <w:rFonts w:ascii="Georgia" w:cs="Georgia" w:eastAsia="Georgia" w:hAnsi="Georgia"/>
          <w:sz w:val="22"/>
          <w:szCs w:val="22"/>
        </w:rPr>
        <w:t xml:space="preserve">The two-level separation is observed. Sections 1–9 make claims about structure. Section 10 makes claims about two types, ILE and IEE, and about no person. The probes check against standard Model A, club, quadra and Reinin data, not against the sealed kernel; the one kernel question the note raises is left open and specified as a D-series job in §6.</w:t>
      </w:r>
    </w:p>
    <w:p>
      <w:pPr>
        <w:spacing w:after="160" w:line="300"/>
      </w:pPr>
      <w:r>
        <w:rPr>
          <w:rFonts w:ascii="Georgia" w:cs="Georgia" w:eastAsia="Georgia" w:hAnsi="Georgia"/>
          <w:sz w:val="22"/>
          <w:szCs w:val="22"/>
        </w:rPr>
        <w:t xml:space="preserve">The companion file kindred_fold_probes.py runs four probes against standard socionics data and asserts every machine-checked claim below. Probe A: the effect of the map on the dichotomies and the quadra-as-row result (§2). Probe B: zones as quasi-identical pairs, rationality as an ordering bit, and the merry/serious cost of dropping r (§4). Probe C: functions as edges, the 4-cycle, the row non-edges, and the approach-direction table (§5). Probe D: Model A landings for dual, kindred, supervisor, conflictor and quasi-identical (§6). The script ends with the open kernel job from §6, printed as a specification and marked not run. In v0.2, Probe D is additionally checked against the kernel itself: the R10 rebuild’s hle/relations.py (landing_permutation) and the sealed 5.2.1 canon’s metabolism/exchange.py (landing_perm, relation_of) reproduce every landing in Table 4. The one kernel claim that remains open is the individuation-schedule job in §6.</w:t>
      </w:r>
    </w:p>
    <w:p>
      <w:pPr>
        <w:pStyle w:val="Heading1"/>
        <w:spacing w:after="160" w:before="400"/>
      </w:pPr>
      <w:r>
        <w:rPr>
          <w:rFonts w:ascii="Georgia" w:cs="Georgia" w:eastAsia="Georgia" w:hAnsi="Georgia"/>
          <w:b/>
          <w:bCs/>
          <w:sz w:val="30"/>
          <w:szCs w:val="30"/>
        </w:rPr>
        <w:t xml:space="preserve">1. The map</w:t>
      </w:r>
    </w:p>
    <w:p>
      <w:pPr>
        <w:spacing w:after="160" w:line="300"/>
      </w:pPr>
      <w:r>
        <w:rPr>
          <w:rFonts w:ascii="Consolas" w:cs="Consolas" w:eastAsia="Consolas" w:hAnsi="Consolas"/>
          <w:b/>
          <w:bCs/>
          <w:color w:val="6B4F2A"/>
          <w:sz w:val="19"/>
          <w:szCs w:val="19"/>
        </w:rPr>
        <w:t xml:space="preserve">[bridge] </w:t>
      </w:r>
      <w:r>
        <w:rPr>
          <w:rFonts w:ascii="Georgia" w:cs="Georgia" w:eastAsia="Georgia" w:hAnsi="Georgia"/>
          <w:sz w:val="22"/>
          <w:szCs w:val="22"/>
        </w:rPr>
        <w:t xml:space="preserve">The stipulated correspondence: I = NF (Humanitarians), It = ST (Pragmatists), We = SF (Socials), Its = NT (Researchers). Read at face value it says that Wilber’s interior is socionics’ ethics and his exterior is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
            </w:r>
          </w:p>
        </w:tc>
        <w:tc>
          <w:tcPr>
            <w:tcW w:type="dxa" w:w="368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Interior</w:t>
            </w:r>
          </w:p>
        </w:tc>
        <w:tc>
          <w:tcPr>
            <w:tcW w:type="dxa" w:w="368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Exterior</w:t>
            </w:r>
          </w:p>
        </w:tc>
      </w:tr>
      <w:tr>
        <w:tc>
          <w:tcPr>
            <w:tcW w:type="dxa" w:w="20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Individual</w:t>
            </w:r>
          </w:p>
        </w:tc>
        <w:tc>
          <w:tcPr>
            <w:tcW w:type="dxa" w:w="36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 — NF (Humanitarians)</w:t>
            </w:r>
          </w:p>
        </w:tc>
        <w:tc>
          <w:tcPr>
            <w:tcW w:type="dxa" w:w="36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It — ST (Pragmatists)</w:t>
            </w:r>
          </w:p>
        </w:tc>
      </w:tr>
      <w:tr>
        <w:tc>
          <w:tcPr>
            <w:tcW w:type="dxa" w:w="20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Collective</w:t>
            </w:r>
          </w:p>
        </w:tc>
        <w:tc>
          <w:tcPr>
            <w:tcW w:type="dxa" w:w="36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We — SF (Socials)</w:t>
            </w:r>
          </w:p>
        </w:tc>
        <w:tc>
          <w:tcPr>
            <w:tcW w:type="dxa" w:w="36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Its — NT (Researchers)</w:t>
            </w:r>
          </w:p>
        </w:tc>
      </w:tr>
    </w:tbl>
    <w:p>
      <w:pPr>
        <w:spacing w:after="240" w:before="80"/>
      </w:pPr>
      <w:r>
        <w:rPr>
          <w:rFonts w:ascii="Georgia" w:cs="Georgia" w:eastAsia="Georgia" w:hAnsi="Georgia"/>
          <w:i/>
          <w:iCs/>
          <w:color w:val="555555"/>
          <w:sz w:val="18"/>
          <w:szCs w:val="18"/>
        </w:rPr>
        <w:t xml:space="preserve">Table 1. The club-to-quadrant map as stipulated.</w:t>
      </w:r>
    </w:p>
    <w:p>
      <w:pPr>
        <w:pStyle w:val="Heading1"/>
        <w:spacing w:after="160" w:before="400"/>
      </w:pPr>
      <w:r>
        <w:rPr>
          <w:rFonts w:ascii="Georgia" w:cs="Georgia" w:eastAsia="Georgia" w:hAnsi="Georgia"/>
          <w:b/>
          <w:bCs/>
          <w:sz w:val="30"/>
          <w:szCs w:val="30"/>
        </w:rPr>
        <w:t xml:space="preserve">2. What the map does to the dichotomies</w:t>
      </w:r>
    </w:p>
    <w:p>
      <w:pPr>
        <w:spacing w:after="160" w:line="300"/>
      </w:pPr>
      <w:r>
        <w:rPr>
          <w:rFonts w:ascii="Consolas" w:cs="Consolas" w:eastAsia="Consolas" w:hAnsi="Consolas"/>
          <w:b/>
          <w:bCs/>
          <w:color w:val="6B4F2A"/>
          <w:sz w:val="19"/>
          <w:szCs w:val="19"/>
        </w:rPr>
        <w:t xml:space="preserve">[machine-checked, Probe A] </w:t>
      </w:r>
      <w:r>
        <w:rPr>
          <w:rFonts w:ascii="Georgia" w:cs="Georgia" w:eastAsia="Georgia" w:hAnsi="Georgia"/>
          <w:sz w:val="22"/>
          <w:szCs w:val="22"/>
        </w:rPr>
        <w:t xml:space="preserve">Under the map the interior/exterior axis is exactly ethics/logic: every F type lands interior, every T type exterior. Sensing/intuition is not an axis of AQAL at all; N lies on the I–Its diagonal and S on the It–We diagonal. The individual/collective axis is the Reinin aristocrat/democrat split: aristocrats (NF, ST) fill the individual row and democrats (NT, SF) the collective row.</w:t>
      </w:r>
    </w:p>
    <w:p>
      <w:pPr>
        <w:spacing w:after="160" w:line="300"/>
      </w:pPr>
      <w:r>
        <w:rPr>
          <w:rFonts w:ascii="Consolas" w:cs="Consolas" w:eastAsia="Consolas" w:hAnsi="Consolas"/>
          <w:b/>
          <w:bCs/>
          <w:color w:val="6B4F2A"/>
          <w:sz w:val="19"/>
          <w:szCs w:val="19"/>
        </w:rPr>
        <w:t xml:space="preserve">[machine-checked, Probe A] </w:t>
      </w:r>
      <w:r>
        <w:rPr>
          <w:rFonts w:ascii="Georgia" w:cs="Georgia" w:eastAsia="Georgia" w:hAnsi="Georgia"/>
          <w:sz w:val="22"/>
          <w:szCs w:val="22"/>
        </w:rPr>
        <w:t xml:space="preserve">Each quadra occupies exactly one AQAL row. Beta and Delta each contain one I club and one It club; Alpha and Gamma each contain one We club and one Its club. A quadra is the interior and the exterior of a single scale.</w:t>
      </w:r>
    </w:p>
    <w:p>
      <w:pPr>
        <w:spacing w:after="160" w:line="300"/>
      </w:pPr>
      <w:r>
        <w:rPr>
          <w:rFonts w:ascii="Consolas" w:cs="Consolas" w:eastAsia="Consolas" w:hAnsi="Consolas"/>
          <w:b/>
          <w:bCs/>
          <w:color w:val="6B4F2A"/>
          <w:sz w:val="19"/>
          <w:szCs w:val="19"/>
        </w:rPr>
        <w:t xml:space="preserve">[derived] </w:t>
      </w:r>
      <w:r>
        <w:rPr>
          <w:rFonts w:ascii="Georgia" w:cs="Georgia" w:eastAsia="Georgia" w:hAnsi="Georgia"/>
          <w:sz w:val="22"/>
          <w:szCs w:val="22"/>
        </w:rPr>
        <w:t xml:space="preserve">In the F₂ idiom this is a basis change on the club plane: with p the perception bit and j the judgement bit, AQAL’s vertical coordinate is j and its horizontal coordinate is p + j. The perception bit becomes the diagonal because it is the sum of the two AQAL coordinates.</w:t>
      </w:r>
    </w:p>
    <w:p>
      <w:pPr>
        <w:pStyle w:val="Heading1"/>
        <w:spacing w:after="160" w:before="400"/>
      </w:pPr>
      <w:r>
        <w:rPr>
          <w:rFonts w:ascii="Georgia" w:cs="Georgia" w:eastAsia="Georgia" w:hAnsi="Georgia"/>
          <w:b/>
          <w:bCs/>
          <w:sz w:val="30"/>
          <w:szCs w:val="30"/>
        </w:rPr>
        <w:t xml:space="preserve">3. Aristocrats and democrats</w:t>
      </w:r>
    </w:p>
    <w:p>
      <w:pPr>
        <w:spacing w:after="160" w:line="300"/>
      </w:pPr>
      <w:r>
        <w:rPr>
          <w:rFonts w:ascii="Consolas" w:cs="Consolas" w:eastAsia="Consolas" w:hAnsi="Consolas"/>
          <w:b/>
          <w:bCs/>
          <w:color w:val="6B4F2A"/>
          <w:sz w:val="19"/>
          <w:szCs w:val="19"/>
        </w:rPr>
        <w:t xml:space="preserve">[source_defined] </w:t>
      </w:r>
      <w:r>
        <w:rPr>
          <w:rFonts w:ascii="Georgia" w:cs="Georgia" w:eastAsia="Georgia" w:hAnsi="Georgia"/>
          <w:sz w:val="22"/>
          <w:szCs w:val="22"/>
        </w:rPr>
        <w:t xml:space="preserve">Reinin’s descriptor runs the other way from the map at first sight: aristocratic types are said to perceive people through group membership, democratic types through individual traits. The map puts the group-perceivers in the individual row.</w:t>
      </w:r>
    </w:p>
    <w:p>
      <w:pPr>
        <w:spacing w:after="160" w:line="300"/>
      </w:pPr>
      <w:r>
        <w:rPr>
          <w:rFonts w:ascii="Consolas" w:cs="Consolas" w:eastAsia="Consolas" w:hAnsi="Consolas"/>
          <w:b/>
          <w:bCs/>
          <w:color w:val="6B4F2A"/>
          <w:sz w:val="19"/>
          <w:szCs w:val="19"/>
        </w:rPr>
        <w:t xml:space="preserve">[interpretive, resolved by stipulation] </w:t>
      </w:r>
      <w:r>
        <w:rPr>
          <w:rFonts w:ascii="Georgia" w:cs="Georgia" w:eastAsia="Georgia" w:hAnsi="Georgia"/>
          <w:sz w:val="22"/>
          <w:szCs w:val="22"/>
        </w:rPr>
        <w:t xml:space="preserve">The reconciliation is by direction of the relation, not by flipping the axis. Aristocratic perception runs individual → group: the individual is the subject and membership is the predicate, so the referent is the individual holon. Democratic perception runs collective → individuals: the collective is the subject and traits are what it sorts its members by, so the referent is the collective holon. AQAL’s individual/collective is about which holon is the referent, not which is valued. Reinin’s descriptor names the predicate; the map reads the subject.</w:t>
      </w:r>
    </w:p>
    <w:p>
      <w:pPr>
        <w:spacing w:after="160" w:line="300"/>
      </w:pPr>
      <w:r>
        <w:rPr>
          <w:rFonts w:ascii="Consolas" w:cs="Consolas" w:eastAsia="Consolas" w:hAnsi="Consolas"/>
          <w:b/>
          <w:bCs/>
          <w:color w:val="6B4F2A"/>
          <w:sz w:val="19"/>
          <w:szCs w:val="19"/>
        </w:rPr>
        <w:t xml:space="preserve">[derived] </w:t>
      </w:r>
      <w:r>
        <w:rPr>
          <w:rFonts w:ascii="Georgia" w:cs="Georgia" w:eastAsia="Georgia" w:hAnsi="Georgia"/>
          <w:sz w:val="22"/>
          <w:szCs w:val="22"/>
        </w:rPr>
        <w:t xml:space="preserve">This tightens the quadra-as-row result. Beta and Delta become the row whose question is “where does this one belong”; Alpha and Gamma the row whose question is “what is this one to us.” Gamma’s reputation for individualism stops being a counterexample: a market is a collective that sorts individuals by traits, which is democratic perception at full strength.</w:t>
      </w:r>
    </w:p>
    <w:p>
      <w:pPr>
        <w:pStyle w:val="Heading1"/>
        <w:spacing w:after="160" w:before="400"/>
      </w:pPr>
      <w:r>
        <w:rPr>
          <w:rFonts w:ascii="Georgia" w:cs="Georgia" w:eastAsia="Georgia" w:hAnsi="Georgia"/>
          <w:b/>
          <w:bCs/>
          <w:sz w:val="30"/>
          <w:szCs w:val="30"/>
        </w:rPr>
        <w:t xml:space="preserve">4. The zone bit</w:t>
      </w:r>
    </w:p>
    <w:p>
      <w:pPr>
        <w:spacing w:after="160" w:line="300"/>
      </w:pPr>
      <w:r>
        <w:rPr>
          <w:rFonts w:ascii="Consolas" w:cs="Consolas" w:eastAsia="Consolas" w:hAnsi="Consolas"/>
          <w:b/>
          <w:bCs/>
          <w:color w:val="6B4F2A"/>
          <w:sz w:val="19"/>
          <w:szCs w:val="19"/>
        </w:rPr>
        <w:t xml:space="preserve">[source_defined] </w:t>
      </w:r>
      <w:r>
        <w:rPr>
          <w:rFonts w:ascii="Georgia" w:cs="Georgia" w:eastAsia="Georgia" w:hAnsi="Georgia"/>
          <w:sz w:val="22"/>
          <w:szCs w:val="22"/>
        </w:rPr>
        <w:t xml:space="preserve">Wilber’s eight zones give each quadrant an inside view and an outside view: phenomenology and structuralism for I; autopoiesis and empiricism for It; hermeneutics and ethnomethodology for We; social autopoiesis and systems theory for Its.</w:t>
      </w:r>
    </w:p>
    <w:p>
      <w:pPr>
        <w:spacing w:after="160" w:line="300"/>
      </w:pPr>
      <w:r>
        <w:rPr>
          <w:rFonts w:ascii="Consolas" w:cs="Consolas" w:eastAsia="Consolas" w:hAnsi="Consolas"/>
          <w:b/>
          <w:bCs/>
          <w:color w:val="6B4F2A"/>
          <w:sz w:val="19"/>
          <w:szCs w:val="19"/>
        </w:rPr>
        <w:t xml:space="preserve">[bridge; polarity interpretive] </w:t>
      </w:r>
      <w:r>
        <w:rPr>
          <w:rFonts w:ascii="Georgia" w:cs="Georgia" w:eastAsia="Georgia" w:hAnsi="Georgia"/>
          <w:sz w:val="22"/>
          <w:szCs w:val="22"/>
        </w:rPr>
        <w:t xml:space="preserve">The zone bit is extraversion/introversion. The extraverted elements are object elements and the outside view takes the quadrant as object; the introverted elements are field elements and the inside view is the quadrant lived from within. So extravert = outside view, introvert = inside view. The check is that each outside-view type produces its zone’s native genre: IEE, in the outside view of I, produces structuralism; ILE, in the outside view of Its, produces systems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Quadrant</w:t>
            </w:r>
          </w:p>
        </w:tc>
        <w:tc>
          <w:tcPr>
            <w:tcW w:type="dxa" w:w="378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Outside view (extravert)</w:t>
            </w:r>
          </w:p>
        </w:tc>
        <w:tc>
          <w:tcPr>
            <w:tcW w:type="dxa" w:w="378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Inside view (introvert)</w:t>
            </w:r>
          </w:p>
        </w:tc>
      </w:tr>
      <w:tr>
        <w:tc>
          <w:tcPr>
            <w:tcW w:type="dxa" w:w="18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 (NF)</w:t>
            </w:r>
          </w:p>
        </w:tc>
        <w:tc>
          <w:tcPr>
            <w:tcW w:type="dxa" w:w="37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structuralism: IEE, EIE</w:t>
            </w:r>
          </w:p>
        </w:tc>
        <w:tc>
          <w:tcPr>
            <w:tcW w:type="dxa" w:w="37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phenomenology: EII, IEI</w:t>
            </w:r>
          </w:p>
        </w:tc>
      </w:tr>
      <w:tr>
        <w:tc>
          <w:tcPr>
            <w:tcW w:type="dxa" w:w="18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It (ST)</w:t>
            </w:r>
          </w:p>
        </w:tc>
        <w:tc>
          <w:tcPr>
            <w:tcW w:type="dxa" w:w="37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empiricism: SLE, LSE</w:t>
            </w:r>
          </w:p>
        </w:tc>
        <w:tc>
          <w:tcPr>
            <w:tcW w:type="dxa" w:w="37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autopoiesis: LSI, SLI</w:t>
            </w:r>
          </w:p>
        </w:tc>
      </w:tr>
      <w:tr>
        <w:tc>
          <w:tcPr>
            <w:tcW w:type="dxa" w:w="18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We (SF)</w:t>
            </w:r>
          </w:p>
        </w:tc>
        <w:tc>
          <w:tcPr>
            <w:tcW w:type="dxa" w:w="37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ethnomethodology: ESE, SEE</w:t>
            </w:r>
          </w:p>
        </w:tc>
        <w:tc>
          <w:tcPr>
            <w:tcW w:type="dxa" w:w="37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hermeneutics: SEI, ESI</w:t>
            </w:r>
          </w:p>
        </w:tc>
      </w:tr>
      <w:tr>
        <w:tc>
          <w:tcPr>
            <w:tcW w:type="dxa" w:w="18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Its (NT)</w:t>
            </w:r>
          </w:p>
        </w:tc>
        <w:tc>
          <w:tcPr>
            <w:tcW w:type="dxa" w:w="37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systems theory: ILE, LIE</w:t>
            </w:r>
          </w:p>
        </w:tc>
        <w:tc>
          <w:tcPr>
            <w:tcW w:type="dxa" w:w="37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social autopoiesis: LII, ILI</w:t>
            </w:r>
          </w:p>
        </w:tc>
      </w:tr>
    </w:tbl>
    <w:p>
      <w:pPr>
        <w:spacing w:after="240" w:before="80"/>
      </w:pPr>
      <w:r>
        <w:rPr>
          <w:rFonts w:ascii="Georgia" w:cs="Georgia" w:eastAsia="Georgia" w:hAnsi="Georgia"/>
          <w:i/>
          <w:iCs/>
          <w:color w:val="555555"/>
          <w:sz w:val="18"/>
          <w:szCs w:val="18"/>
        </w:rPr>
        <w:t xml:space="preserve">Table 2. The eight zones as populated by the sixteen types.</w:t>
      </w:r>
    </w:p>
    <w:p>
      <w:pPr>
        <w:spacing w:after="160" w:line="300"/>
      </w:pPr>
      <w:r>
        <w:rPr>
          <w:rFonts w:ascii="Consolas" w:cs="Consolas" w:eastAsia="Consolas" w:hAnsi="Consolas"/>
          <w:b/>
          <w:bCs/>
          <w:color w:val="6B4F2A"/>
          <w:sz w:val="19"/>
          <w:szCs w:val="19"/>
        </w:rPr>
        <w:t xml:space="preserve">[machine-checked, Probe B] </w:t>
      </w:r>
      <w:r>
        <w:rPr>
          <w:rFonts w:ascii="Georgia" w:cs="Georgia" w:eastAsia="Georgia" w:hAnsi="Georgia"/>
          <w:sz w:val="22"/>
          <w:szCs w:val="22"/>
        </w:rPr>
        <w:t xml:space="preserve">The eight zones are exactly the eight quasi-identical pairs (same club, same attitude, opposite rationality). AQAL cannot distinguish quasi-identicals.</w:t>
      </w:r>
    </w:p>
    <w:p>
      <w:pPr>
        <w:spacing w:after="160" w:line="300"/>
      </w:pPr>
      <w:r>
        <w:rPr>
          <w:rFonts w:ascii="Consolas" w:cs="Consolas" w:eastAsia="Consolas" w:hAnsi="Consolas"/>
          <w:b/>
          <w:bCs/>
          <w:color w:val="6B4F2A"/>
          <w:sz w:val="19"/>
          <w:szCs w:val="19"/>
        </w:rPr>
        <w:t xml:space="preserve">[machine-checked, Probe B] </w:t>
      </w:r>
      <w:r>
        <w:rPr>
          <w:rFonts w:ascii="Georgia" w:cs="Georgia" w:eastAsia="Georgia" w:hAnsi="Georgia"/>
          <w:sz w:val="22"/>
          <w:szCs w:val="22"/>
        </w:rPr>
        <w:t xml:space="preserve">Rationality is not a location. Rational types lead with the axis function (T or F, the interior/exterior bit); irrational types lead with the diagonal function (N or S). The r-bit is an ordering: which of a type’s two coordinates goes first. AQAL is positional and carries no ordering, which is why E/I fits the zone slot and rationality never could.</w:t>
      </w:r>
    </w:p>
    <w:p>
      <w:pPr>
        <w:spacing w:after="160" w:line="300"/>
      </w:pPr>
      <w:r>
        <w:rPr>
          <w:rFonts w:ascii="Consolas" w:cs="Consolas" w:eastAsia="Consolas" w:hAnsi="Consolas"/>
          <w:b/>
          <w:bCs/>
          <w:color w:val="6B4F2A"/>
          <w:sz w:val="19"/>
          <w:szCs w:val="19"/>
        </w:rPr>
        <w:t xml:space="preserve">[machine-checked, Probe B] </w:t>
      </w:r>
      <w:r>
        <w:rPr>
          <w:rFonts w:ascii="Georgia" w:cs="Georgia" w:eastAsia="Georgia" w:hAnsi="Georgia"/>
          <w:sz w:val="22"/>
          <w:szCs w:val="22"/>
        </w:rPr>
        <w:t xml:space="preserve">What dropping r would cost: quadra within a row is e ⊕ r ⊕ j, the merry/serious split. AQAL has e and j but not r, so it sees a type’s row, side and view, but not which quadra in the row it belongs to. Alpha and Gamma collapse; Beta and Delta collapse; every claim socionics makes about quadra values is invisible to AQAL.</w:t>
      </w:r>
    </w:p>
    <w:p>
      <w:pPr>
        <w:spacing w:after="160" w:line="300"/>
      </w:pPr>
      <w:r>
        <w:rPr>
          <w:rFonts w:ascii="Consolas" w:cs="Consolas" w:eastAsia="Consolas" w:hAnsi="Consolas"/>
          <w:b/>
          <w:bCs/>
          <w:color w:val="6B4F2A"/>
          <w:sz w:val="19"/>
          <w:szCs w:val="19"/>
        </w:rPr>
        <w:t xml:space="preserve">[derived; decision] </w:t>
      </w:r>
      <w:r>
        <w:rPr>
          <w:rFonts w:ascii="Georgia" w:cs="Georgia" w:eastAsia="Georgia" w:hAnsi="Georgia"/>
          <w:sz w:val="22"/>
          <w:szCs w:val="22"/>
        </w:rPr>
        <w:t xml:space="preserve">The bridge is therefore an extension, not a projection. One invertible map on F₂⁴: (p, j, e, r) ↦ (j, p + j, e, r). AQAL’s zones are the image with the last coordinate forgotten. The rule adopted in session: if dropping a bit costs something and keeping it gives something, keep it.</w:t>
      </w:r>
    </w:p>
    <w:p>
      <w:pPr>
        <w:pStyle w:val="Heading1"/>
        <w:spacing w:after="160" w:before="400"/>
      </w:pPr>
      <w:r>
        <w:rPr>
          <w:rFonts w:ascii="Georgia" w:cs="Georgia" w:eastAsia="Georgia" w:hAnsi="Georgia"/>
          <w:b/>
          <w:bCs/>
          <w:sz w:val="30"/>
          <w:szCs w:val="30"/>
        </w:rPr>
        <w:t xml:space="preserve">5. Functions as edges</w:t>
      </w:r>
    </w:p>
    <w:p>
      <w:pPr>
        <w:spacing w:after="160" w:line="300"/>
      </w:pPr>
      <w:r>
        <w:rPr>
          <w:rFonts w:ascii="Consolas" w:cs="Consolas" w:eastAsia="Consolas" w:hAnsi="Consolas"/>
          <w:b/>
          <w:bCs/>
          <w:color w:val="6B4F2A"/>
          <w:sz w:val="19"/>
          <w:szCs w:val="19"/>
        </w:rPr>
        <w:t xml:space="preserve">[machine-checked, Probe C] </w:t>
      </w:r>
      <w:r>
        <w:rPr>
          <w:rFonts w:ascii="Georgia" w:cs="Georgia" w:eastAsia="Georgia" w:hAnsi="Georgia"/>
          <w:sz w:val="22"/>
          <w:szCs w:val="22"/>
        </w:rPr>
        <w:t xml:space="preserve">Each socionic function is an edge between two quadrants: F is the interior column (I–We), T the exterior column (It–Its), N one diagonal (I–Its), S the other (It–We). The four edges form a 4-cycle on the four quadrants. The two missing edges are the rows (I–It, We–Its). No single function changes a type’s row; aristocrat to democrat is always two moves.</w:t>
      </w:r>
    </w:p>
    <w:p>
      <w:pPr>
        <w:spacing w:after="160" w:line="300"/>
      </w:pPr>
      <w:r>
        <w:rPr>
          <w:rFonts w:ascii="Consolas" w:cs="Consolas" w:eastAsia="Consolas" w:hAnsi="Consolas"/>
          <w:b/>
          <w:bCs/>
          <w:color w:val="6B4F2A"/>
          <w:sz w:val="19"/>
          <w:szCs w:val="19"/>
        </w:rPr>
        <w:t xml:space="preserve">[derived] </w:t>
      </w:r>
      <w:r>
        <w:rPr>
          <w:rFonts w:ascii="Georgia" w:cs="Georgia" w:eastAsia="Georgia" w:hAnsi="Georgia"/>
          <w:sz w:val="22"/>
          <w:szCs w:val="22"/>
        </w:rPr>
        <w:t xml:space="preserve">A type is then a vertex, the edge it leads along, and an attitude: 4 × 2 × 2 = 16. The kept r-bit is which of the vertex’s two edges is leading, and that edge says which neighbouring quadrant the type enters its own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Vertex</w:t>
            </w:r>
          </w:p>
        </w:tc>
        <w:tc>
          <w:tcPr>
            <w:tcW w:type="dxa" w:w="388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Leads along a column (rational)</w:t>
            </w:r>
          </w:p>
        </w:tc>
        <w:tc>
          <w:tcPr>
            <w:tcW w:type="dxa" w:w="388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Leads along a diagonal (irrational)</w:t>
            </w:r>
          </w:p>
        </w:tc>
      </w:tr>
      <w:tr>
        <w:tc>
          <w:tcPr>
            <w:tcW w:type="dxa" w:w="16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 (NF)</w:t>
            </w:r>
          </w:p>
        </w:tc>
        <w:tc>
          <w:tcPr>
            <w:tcW w:type="dxa" w:w="38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EII Fi, EIE Fe · from We</w:t>
            </w:r>
          </w:p>
        </w:tc>
        <w:tc>
          <w:tcPr>
            <w:tcW w:type="dxa" w:w="38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IEE Ne, IEI Ni · from Its</w:t>
            </w:r>
          </w:p>
        </w:tc>
      </w:tr>
      <w:tr>
        <w:tc>
          <w:tcPr>
            <w:tcW w:type="dxa" w:w="16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It (ST)</w:t>
            </w:r>
          </w:p>
        </w:tc>
        <w:tc>
          <w:tcPr>
            <w:tcW w:type="dxa" w:w="38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LSI Ti, LSE Te · from Its</w:t>
            </w:r>
          </w:p>
        </w:tc>
        <w:tc>
          <w:tcPr>
            <w:tcW w:type="dxa" w:w="38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SLE Se, SLI Si · from We</w:t>
            </w:r>
          </w:p>
        </w:tc>
      </w:tr>
      <w:tr>
        <w:tc>
          <w:tcPr>
            <w:tcW w:type="dxa" w:w="16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We (SF)</w:t>
            </w:r>
          </w:p>
        </w:tc>
        <w:tc>
          <w:tcPr>
            <w:tcW w:type="dxa" w:w="38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ESI Fi, ESE Fe · from I</w:t>
            </w:r>
          </w:p>
        </w:tc>
        <w:tc>
          <w:tcPr>
            <w:tcW w:type="dxa" w:w="38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SEI Si, SEE Se · from It</w:t>
            </w:r>
          </w:p>
        </w:tc>
      </w:tr>
      <w:tr>
        <w:tc>
          <w:tcPr>
            <w:tcW w:type="dxa" w:w="16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Its (NT)</w:t>
            </w:r>
          </w:p>
        </w:tc>
        <w:tc>
          <w:tcPr>
            <w:tcW w:type="dxa" w:w="38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LII Ti, LIE Te · from It</w:t>
            </w:r>
          </w:p>
        </w:tc>
        <w:tc>
          <w:tcPr>
            <w:tcW w:type="dxa" w:w="38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ILE Ne, ILI Ni · from I</w:t>
            </w:r>
          </w:p>
        </w:tc>
      </w:tr>
    </w:tbl>
    <w:p>
      <w:pPr>
        <w:spacing w:after="240" w:before="80"/>
      </w:pPr>
      <w:r>
        <w:rPr>
          <w:rFonts w:ascii="Georgia" w:cs="Georgia" w:eastAsia="Georgia" w:hAnsi="Georgia"/>
          <w:i/>
          <w:iCs/>
          <w:color w:val="555555"/>
          <w:sz w:val="18"/>
          <w:szCs w:val="18"/>
        </w:rPr>
        <w:t xml:space="preserve">Table 3. Direction of approach: the quadrant each type enters its own from.</w:t>
      </w:r>
    </w:p>
    <w:p>
      <w:pPr>
        <w:spacing w:after="160" w:line="300"/>
      </w:pPr>
      <w:r>
        <w:rPr>
          <w:rFonts w:ascii="Consolas" w:cs="Consolas" w:eastAsia="Consolas" w:hAnsi="Consolas"/>
          <w:b/>
          <w:bCs/>
          <w:color w:val="6B4F2A"/>
          <w:sz w:val="19"/>
          <w:szCs w:val="19"/>
        </w:rPr>
        <w:t xml:space="preserve">[derived] </w:t>
      </w:r>
      <w:r>
        <w:rPr>
          <w:rFonts w:ascii="Georgia" w:cs="Georgia" w:eastAsia="Georgia" w:hAnsi="Georgia"/>
          <w:sz w:val="22"/>
          <w:szCs w:val="22"/>
        </w:rPr>
        <w:t xml:space="preserve">What AQAL lacked was a direction of approach. Rationals arrive at their quadrant along a column: same side, other scale. Irrationals arrive along a diagonal: other side, other scale. Two intertype relations fall out immediately. Quasi-identicals share a vertex and an attitude and differ only in approach edge. Kindreds share an edge and lead from opposite ends of it. Duals sit across a row non-edge, and the dual’s ego is a type’s two non-incident edges, which is why duals supply and kindreds strike.</w:t>
      </w:r>
    </w:p>
    <w:p>
      <w:pPr>
        <w:pStyle w:val="Heading1"/>
        <w:spacing w:after="160" w:before="400"/>
      </w:pPr>
      <w:r>
        <w:rPr>
          <w:rFonts w:ascii="Georgia" w:cs="Georgia" w:eastAsia="Georgia" w:hAnsi="Georgia"/>
          <w:b/>
          <w:bCs/>
          <w:sz w:val="30"/>
          <w:szCs w:val="30"/>
        </w:rPr>
        <w:t xml:space="preserve">6. Kindred versus dual</w:t>
      </w:r>
    </w:p>
    <w:p>
      <w:pPr>
        <w:spacing w:after="160" w:line="300"/>
      </w:pPr>
      <w:r>
        <w:rPr>
          <w:rFonts w:ascii="Consolas" w:cs="Consolas" w:eastAsia="Consolas" w:hAnsi="Consolas"/>
          <w:b/>
          <w:bCs/>
          <w:color w:val="6B4F2A"/>
          <w:sz w:val="19"/>
          <w:szCs w:val="19"/>
        </w:rPr>
        <w:t xml:space="preserve">[machine-checked, Probe D; kernel-checked v0.2] </w:t>
      </w:r>
      <w:r>
        <w:rPr>
          <w:rFonts w:ascii="Georgia" w:cs="Georgia" w:eastAsia="Georgia" w:hAnsi="Georgia"/>
          <w:sz w:val="22"/>
          <w:szCs w:val="22"/>
        </w:rPr>
        <w:t xml:space="preserve">Where a partner’s ego (functions 1 and 2) lands in one’s own Model A, anchor ILE, with the sealed canon’s relation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4660"/>
      </w:tblGrid>
      <w:tr>
        <w:trPr>
          <w:tblHeader/>
        </w:trPr>
        <w:tc>
          <w:tcPr>
            <w:tcW w:type="dxa" w:w="210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Relation (partner)</w:t>
            </w:r>
          </w:p>
        </w:tc>
        <w:tc>
          <w:tcPr>
            <w:tcW w:type="dxa" w:w="130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Partner’s 1st →</w:t>
            </w:r>
          </w:p>
        </w:tc>
        <w:tc>
          <w:tcPr>
            <w:tcW w:type="dxa" w:w="130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Partner’s 2nd →</w:t>
            </w:r>
          </w:p>
        </w:tc>
        <w:tc>
          <w:tcPr>
            <w:tcW w:type="dxa" w:w="466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Note</w:t>
            </w:r>
          </w:p>
        </w:tc>
      </w:tr>
      <w:tr>
        <w:tc>
          <w:tcPr>
            <w:tcW w:type="dxa" w:w="21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Dual (SEI)</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5</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6</w:t>
            </w:r>
          </w:p>
        </w:tc>
        <w:tc>
          <w:tcPr>
            <w:tcW w:type="dxa" w:w="466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supplies the super-id; never touches 4</w:t>
            </w:r>
          </w:p>
        </w:tc>
      </w:tr>
      <w:tr>
        <w:tc>
          <w:tcPr>
            <w:tcW w:type="dxa" w:w="21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Kindred (IEE)</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1</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4</w:t>
            </w:r>
          </w:p>
        </w:tc>
        <w:tc>
          <w:tcPr>
            <w:tcW w:type="dxa" w:w="466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leading meets your leading; creative strikes your PoLR; shares the suggestive; its 8th lands on your 6th; symmetric</w:t>
            </w:r>
          </w:p>
        </w:tc>
      </w:tr>
      <w:tr>
        <w:tc>
          <w:tcPr>
            <w:tcW w:type="dxa" w:w="21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Supervisor (EII)</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4</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1</w:t>
            </w:r>
          </w:p>
        </w:tc>
        <w:tc>
          <w:tcPr>
            <w:tcW w:type="dxa" w:w="466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leading strikes your PoLR; creative meets your leading; asymmetric: your ego lands on its 2 and 3, no return strike</w:t>
            </w:r>
          </w:p>
        </w:tc>
      </w:tr>
      <w:tr>
        <w:tc>
          <w:tcPr>
            <w:tcW w:type="dxa" w:w="21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Super-ego (SEE)</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3</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4</w:t>
            </w:r>
          </w:p>
        </w:tc>
        <w:tc>
          <w:tcPr>
            <w:tcW w:type="dxa" w:w="466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ego lands entirely in your super-ego block</w:t>
            </w:r>
          </w:p>
        </w:tc>
      </w:tr>
      <w:tr>
        <w:tc>
          <w:tcPr>
            <w:tcW w:type="dxa" w:w="21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Conflictor (ESI)</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4</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3</w:t>
            </w:r>
          </w:p>
        </w:tc>
        <w:tc>
          <w:tcPr>
            <w:tcW w:type="dxa" w:w="466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leading strikes your PoLR; creative meets your role</w:t>
            </w:r>
          </w:p>
        </w:tc>
      </w:tr>
      <w:tr>
        <w:tc>
          <w:tcPr>
            <w:tcW w:type="dxa" w:w="21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Quasi-identical (LIE)</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8</w:t>
            </w:r>
          </w:p>
        </w:tc>
        <w:tc>
          <w:tcPr>
            <w:tcW w:type="dxa" w:w="13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7</w:t>
            </w:r>
          </w:p>
        </w:tc>
        <w:tc>
          <w:tcPr>
            <w:tcW w:type="dxa" w:w="466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lands in the Id block</w:t>
            </w:r>
          </w:p>
        </w:tc>
      </w:tr>
    </w:tbl>
    <w:p>
      <w:pPr>
        <w:spacing w:after="240" w:before="80"/>
      </w:pPr>
      <w:r>
        <w:rPr>
          <w:rFonts w:ascii="Georgia" w:cs="Georgia" w:eastAsia="Georgia" w:hAnsi="Georgia"/>
          <w:i/>
          <w:iCs/>
          <w:color w:val="555555"/>
          <w:sz w:val="18"/>
          <w:szCs w:val="18"/>
        </w:rPr>
        <w:t xml:space="preserve">Table 4. Model A landings, anchor ILE, checked against both kernels; the pattern is the same from any anchor.</w:t>
      </w:r>
    </w:p>
    <w:p>
      <w:pPr>
        <w:spacing w:after="160" w:line="300"/>
      </w:pPr>
      <w:r>
        <w:rPr>
          <w:rFonts w:ascii="Consolas" w:cs="Consolas" w:eastAsia="Consolas" w:hAnsi="Consolas"/>
          <w:b/>
          <w:bCs/>
          <w:color w:val="6B4F2A"/>
          <w:sz w:val="19"/>
          <w:szCs w:val="19"/>
        </w:rPr>
        <w:t xml:space="preserve">[retraction (v0.2)] </w:t>
      </w:r>
      <w:r>
        <w:rPr>
          <w:rFonts w:ascii="Georgia" w:cs="Georgia" w:eastAsia="Georgia" w:hAnsi="Georgia"/>
          <w:sz w:val="22"/>
          <w:szCs w:val="22"/>
        </w:rPr>
        <w:t xml:space="preserve">v0.1 labelled the (3, 4) landing “supervisor.” The sealed canon names that relation super-ego; the supervisor is the partner whose ego lands on (4, 1). Running Probe D against the kernel found the mislabel. The qualitative claim below is corrected accordingly.</w:t>
      </w:r>
    </w:p>
    <w:p>
      <w:pPr>
        <w:spacing w:after="160" w:line="300"/>
      </w:pPr>
      <w:r>
        <w:rPr>
          <w:rFonts w:ascii="Consolas" w:cs="Consolas" w:eastAsia="Consolas" w:hAnsi="Consolas"/>
          <w:b/>
          <w:bCs/>
          <w:color w:val="6B4F2A"/>
          <w:sz w:val="19"/>
          <w:szCs w:val="19"/>
        </w:rPr>
        <w:t xml:space="preserve">[derived] </w:t>
      </w:r>
      <w:r>
        <w:rPr>
          <w:rFonts w:ascii="Georgia" w:cs="Georgia" w:eastAsia="Georgia" w:hAnsi="Georgia"/>
          <w:sz w:val="22"/>
          <w:szCs w:val="22"/>
        </w:rPr>
        <w:t xml:space="preserve">Kindred and supervision are the two relations that put the partner’s ego on your positions 1 and 4. They differ in which function delivers the strike and in symmetry. In kindred the strike on 4 comes from the partner’s creative and the leading meets your leading, and the arrangement is mutual. In supervision the strike on 4 comes from the partner’s leading, the strongest function into the weakest, the channel into your 1 is only the partner’s creative, and nothing lands back on the supervisor’s 4. So “supervision without the supervision” is exact: the same two seats, the strike demoted from leading to creative, and the relation made symmetric. In the edge picture, kindreds share an edge; the two columns at its ends are exchanged, each one’s creative column being the other’s PoLR column; and the edge opposite the shared one in the 4-cycle is the suggestive of both.</w:t>
      </w:r>
    </w:p>
    <w:p>
      <w:pPr>
        <w:spacing w:after="160" w:line="300"/>
      </w:pPr>
      <w:r>
        <w:rPr>
          <w:rFonts w:ascii="Consolas" w:cs="Consolas" w:eastAsia="Consolas" w:hAnsi="Consolas"/>
          <w:b/>
          <w:bCs/>
          <w:color w:val="6B4F2A"/>
          <w:sz w:val="19"/>
          <w:szCs w:val="19"/>
        </w:rPr>
        <w:t xml:space="preserve">[interpretive] </w:t>
      </w:r>
      <w:r>
        <w:rPr>
          <w:rFonts w:ascii="Georgia" w:cs="Georgia" w:eastAsia="Georgia" w:hAnsi="Georgia"/>
          <w:sz w:val="22"/>
          <w:szCs w:val="22"/>
        </w:rPr>
        <w:t xml:space="preserve">The session’s premise was that kindreds have grounds for arriving at individuation on the same schedule as duals from content alone. Half holds. Kindred content lands on the crux at dual-grade bandwidth, which a dual never does. But kindreds share their fifth function; it is the edge both face away from; neither can produce it, so no content from either reaches it. “Content alone” is exactly the constraint that blocks it: content travels along edges a type can produce, and the suggestive is by definition the edge it cannot. What kindreds do supply each other is background, demonstrative into mobilizing, unemphasized.</w:t>
      </w:r>
    </w:p>
    <w:p>
      <w:pPr>
        <w:spacing w:after="160" w:line="300"/>
      </w:pPr>
      <w:r>
        <w:rPr>
          <w:rFonts w:ascii="Consolas" w:cs="Consolas" w:eastAsia="Consolas" w:hAnsi="Consolas"/>
          <w:b/>
          <w:bCs/>
          <w:color w:val="6B4F2A"/>
          <w:sz w:val="19"/>
          <w:szCs w:val="19"/>
        </w:rPr>
        <w:t xml:space="preserve">[derived] </w:t>
      </w:r>
      <w:r>
        <w:rPr>
          <w:rFonts w:ascii="Georgia" w:cs="Georgia" w:eastAsia="Georgia" w:hAnsi="Georgia"/>
          <w:sz w:val="22"/>
          <w:szCs w:val="22"/>
        </w:rPr>
        <w:t xml:space="preserve">Refined claim: dual supply and kindred content are complementary, not equivalent. Dual handles the super-id and never touches the crux; kindred handles the crux and cannot touch the shared suggestive. Neither alone is the full schedule.</w:t>
      </w:r>
    </w:p>
    <w:p>
      <w:pPr>
        <w:spacing w:after="160" w:line="300"/>
      </w:pPr>
      <w:r>
        <w:rPr>
          <w:rFonts w:ascii="Consolas" w:cs="Consolas" w:eastAsia="Consolas" w:hAnsi="Consolas"/>
          <w:b/>
          <w:bCs/>
          <w:color w:val="6B4F2A"/>
          <w:sz w:val="19"/>
          <w:szCs w:val="19"/>
        </w:rPr>
        <w:t xml:space="preserve">[open — D-series job, number to be assigned from the register] </w:t>
      </w:r>
      <w:r>
        <w:rPr>
          <w:rFonts w:ascii="Georgia" w:cs="Georgia" w:eastAsia="Georgia" w:hAnsi="Georgia"/>
          <w:sz w:val="22"/>
          <w:szCs w:val="22"/>
        </w:rPr>
        <w:t xml:space="preserve">Whether the shell’s individuation schedule shows this is a Supplier-Wake question for the kernel. Design: two-agent runs, dual pair against kindred pair, same firing policy under both relay and every_tick, identical initial altitude; track altitude per tick and, at each stall, the gating function. Prediction: kindred-driven ascent stalls where the shared suggestive gates it; dual-driven ascent stalls where the PoLR gates it. Not run; the sealed kernel was not available in the session.</w:t>
      </w:r>
    </w:p>
    <w:p>
      <w:pPr>
        <w:pStyle w:val="Heading1"/>
        <w:spacing w:after="160" w:before="400"/>
      </w:pPr>
      <w:r>
        <w:rPr>
          <w:rFonts w:ascii="Georgia" w:cs="Georgia" w:eastAsia="Georgia" w:hAnsi="Georgia"/>
          <w:b/>
          <w:bCs/>
          <w:sz w:val="30"/>
          <w:szCs w:val="30"/>
        </w:rPr>
        <w:t xml:space="preserve">7. Content and presence</w:t>
      </w:r>
    </w:p>
    <w:p>
      <w:pPr>
        <w:spacing w:after="160" w:line="300"/>
      </w:pPr>
      <w:r>
        <w:rPr>
          <w:rFonts w:ascii="Consolas" w:cs="Consolas" w:eastAsia="Consolas" w:hAnsi="Consolas"/>
          <w:b/>
          <w:bCs/>
          <w:color w:val="6B4F2A"/>
          <w:sz w:val="19"/>
          <w:szCs w:val="19"/>
        </w:rPr>
        <w:t xml:space="preserve">[interpretive] </w:t>
      </w:r>
      <w:r>
        <w:rPr>
          <w:rFonts w:ascii="Georgia" w:cs="Georgia" w:eastAsia="Georgia" w:hAnsi="Georgia"/>
          <w:sz w:val="22"/>
          <w:szCs w:val="22"/>
        </w:rPr>
        <w:t xml:space="preserve">Content is a partner’s creative function held still. Presence is supply. A statue is a person who holds still: written Ti can be circled at the receiver’s own rate; live Ti at the sender’s speed is a strike. This is the structural reason the kindred exchange works best in writing, and why “content alone” was the right constraint in §6.</w:t>
      </w:r>
    </w:p>
    <w:p>
      <w:pPr>
        <w:spacing w:after="160" w:line="300"/>
      </w:pPr>
      <w:r>
        <w:rPr>
          <w:rFonts w:ascii="Consolas" w:cs="Consolas" w:eastAsia="Consolas" w:hAnsi="Consolas"/>
          <w:b/>
          <w:bCs/>
          <w:color w:val="6B4F2A"/>
          <w:sz w:val="19"/>
          <w:szCs w:val="19"/>
        </w:rPr>
        <w:t xml:space="preserve">[interpretive] </w:t>
      </w:r>
      <w:r>
        <w:rPr>
          <w:rFonts w:ascii="Georgia" w:cs="Georgia" w:eastAsia="Georgia" w:hAnsi="Georgia"/>
          <w:sz w:val="22"/>
          <w:szCs w:val="22"/>
        </w:rPr>
        <w:t xml:space="preserve">The reception of PoLR-content over the leading channel has a recognisable phenomenology. It is the hardest and the most rewarding thing at once, because positions 4 and 1 are struck by the same sentence. The reader returns to single sentences repeatedly, because a one-dimensional function processes by direct contact, one instance at a time, with no norms to sort by and no situation to generalise into, while the leading function keeps the whole in view. And word choice becomes the object of attention, because the other type’s creative function shows its surfaces in its definitions.</w:t>
      </w:r>
    </w:p>
    <w:p>
      <w:pPr>
        <w:spacing w:after="160" w:line="300"/>
      </w:pPr>
      <w:r>
        <w:rPr>
          <w:rFonts w:ascii="Consolas" w:cs="Consolas" w:eastAsia="Consolas" w:hAnsi="Consolas"/>
          <w:b/>
          <w:bCs/>
          <w:color w:val="6B4F2A"/>
          <w:sz w:val="19"/>
          <w:szCs w:val="19"/>
        </w:rPr>
        <w:t xml:space="preserve">[interpretive] </w:t>
      </w:r>
      <w:r>
        <w:rPr>
          <w:rFonts w:ascii="Georgia" w:cs="Georgia" w:eastAsia="Georgia" w:hAnsi="Georgia"/>
          <w:sz w:val="22"/>
          <w:szCs w:val="22"/>
        </w:rPr>
        <w:t xml:space="preserve">The reciprocal object is the receiver’s own creative column held still, built to a tolerance the other can circle without flinching.</w:t>
      </w:r>
    </w:p>
    <w:p>
      <w:pPr>
        <w:pStyle w:val="Heading1"/>
        <w:spacing w:after="160" w:before="400"/>
      </w:pPr>
      <w:r>
        <w:rPr>
          <w:rFonts w:ascii="Georgia" w:cs="Georgia" w:eastAsia="Georgia" w:hAnsi="Georgia"/>
          <w:b/>
          <w:bCs/>
          <w:sz w:val="30"/>
          <w:szCs w:val="30"/>
        </w:rPr>
        <w:t xml:space="preserve">8. Quantizations, the moat, and the bank</w:t>
      </w:r>
    </w:p>
    <w:p>
      <w:pPr>
        <w:spacing w:after="160" w:line="300"/>
      </w:pPr>
      <w:r>
        <w:rPr>
          <w:rFonts w:ascii="Consolas" w:cs="Consolas" w:eastAsia="Consolas" w:hAnsi="Consolas"/>
          <w:b/>
          <w:bCs/>
          <w:color w:val="6B4F2A"/>
          <w:sz w:val="19"/>
          <w:szCs w:val="19"/>
        </w:rPr>
        <w:t xml:space="preserve">[interpretive] </w:t>
      </w:r>
      <w:r>
        <w:rPr>
          <w:rFonts w:ascii="Georgia" w:cs="Georgia" w:eastAsia="Georgia" w:hAnsi="Georgia"/>
          <w:sz w:val="22"/>
          <w:szCs w:val="22"/>
        </w:rPr>
        <w:t xml:space="preserve">Phenomenology quantizes appearing: its unit is the act of attending and what is given in it, and no observer stands apart. Structuralism quantizes dependence, in both senses the tradition already has: elements defined by their relations, stages by what they presuppose. Run through all eight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Quadrant</w:t>
            </w:r>
          </w:p>
        </w:tc>
        <w:tc>
          <w:tcPr>
            <w:tcW w:type="dxa" w:w="398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Inside view quantizes</w:t>
            </w:r>
          </w:p>
        </w:tc>
        <w:tc>
          <w:tcPr>
            <w:tcW w:type="dxa" w:w="3980"/>
            <w:shd w:fill="EFE9DD" w:color="auto"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Outside view quantizes</w:t>
            </w:r>
          </w:p>
        </w:tc>
      </w:tr>
      <w:tr>
        <w:tc>
          <w:tcPr>
            <w:tcW w:type="dxa" w:w="14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w:t>
            </w:r>
          </w:p>
        </w:tc>
        <w:tc>
          <w:tcPr>
            <w:tcW w:type="dxa" w:w="39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appearing (phenomenology)</w:t>
            </w:r>
          </w:p>
        </w:tc>
        <w:tc>
          <w:tcPr>
            <w:tcW w:type="dxa" w:w="39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dependence (structuralism)</w:t>
            </w:r>
          </w:p>
        </w:tc>
      </w:tr>
      <w:tr>
        <w:tc>
          <w:tcPr>
            <w:tcW w:type="dxa" w:w="14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It</w:t>
            </w:r>
          </w:p>
        </w:tc>
        <w:tc>
          <w:tcPr>
            <w:tcW w:type="dxa" w:w="39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maintenance (autopoiesis)</w:t>
            </w:r>
          </w:p>
        </w:tc>
        <w:tc>
          <w:tcPr>
            <w:tcW w:type="dxa" w:w="39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measurement (empiricism)</w:t>
            </w:r>
          </w:p>
        </w:tc>
      </w:tr>
      <w:tr>
        <w:tc>
          <w:tcPr>
            <w:tcW w:type="dxa" w:w="14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We</w:t>
            </w:r>
          </w:p>
        </w:tc>
        <w:tc>
          <w:tcPr>
            <w:tcW w:type="dxa" w:w="39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meaning (hermeneutics)</w:t>
            </w:r>
          </w:p>
        </w:tc>
        <w:tc>
          <w:tcPr>
            <w:tcW w:type="dxa" w:w="39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practice (ethnomethodology)</w:t>
            </w:r>
          </w:p>
        </w:tc>
      </w:tr>
      <w:tr>
        <w:tc>
          <w:tcPr>
            <w:tcW w:type="dxa" w:w="14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Its</w:t>
            </w:r>
          </w:p>
        </w:tc>
        <w:tc>
          <w:tcPr>
            <w:tcW w:type="dxa" w:w="39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self-reference (social autopoiesis)</w:t>
            </w:r>
          </w:p>
        </w:tc>
        <w:tc>
          <w:tcPr>
            <w:tcW w:type="dxa" w:w="398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consequence (systems theory)</w:t>
            </w:r>
          </w:p>
        </w:tc>
      </w:tr>
    </w:tbl>
    <w:p>
      <w:pPr>
        <w:spacing w:after="240" w:before="80"/>
      </w:pPr>
      <w:r>
        <w:rPr>
          <w:rFonts w:ascii="Georgia" w:cs="Georgia" w:eastAsia="Georgia" w:hAnsi="Georgia"/>
          <w:i/>
          <w:iCs/>
          <w:color w:val="555555"/>
          <w:sz w:val="18"/>
          <w:szCs w:val="18"/>
        </w:rPr>
        <w:t xml:space="preserve">Table 5. Each zone as a quantization.</w:t>
      </w:r>
    </w:p>
    <w:p>
      <w:pPr>
        <w:spacing w:after="160" w:line="300"/>
      </w:pPr>
      <w:r>
        <w:rPr>
          <w:rFonts w:ascii="Consolas" w:cs="Consolas" w:eastAsia="Consolas" w:hAnsi="Consolas"/>
          <w:b/>
          <w:bCs/>
          <w:color w:val="6B4F2A"/>
          <w:sz w:val="19"/>
          <w:szCs w:val="19"/>
        </w:rPr>
        <w:t xml:space="preserve">[retraction] </w:t>
      </w:r>
      <w:r>
        <w:rPr>
          <w:rFonts w:ascii="Georgia" w:cs="Georgia" w:eastAsia="Georgia" w:hAnsi="Georgia"/>
          <w:sz w:val="22"/>
          <w:szCs w:val="22"/>
        </w:rPr>
        <w:t xml:space="preserve">During the session it was claimed that each outside-view zone quantizes the creative column of the types in it, as if both types in a zone shared one. They do not: zones pair quasi-identicals, and the irrational member creates along the column while the rational member creates along the diagonal. The claim holds for the irrational member only.</w:t>
      </w:r>
    </w:p>
    <w:p>
      <w:pPr>
        <w:spacing w:after="160" w:line="300"/>
      </w:pPr>
      <w:r>
        <w:rPr>
          <w:rFonts w:ascii="Consolas" w:cs="Consolas" w:eastAsia="Consolas" w:hAnsi="Consolas"/>
          <w:b/>
          <w:bCs/>
          <w:color w:val="6B4F2A"/>
          <w:sz w:val="19"/>
          <w:szCs w:val="19"/>
        </w:rPr>
        <w:t xml:space="preserve">[derived] </w:t>
      </w:r>
      <w:r>
        <w:rPr>
          <w:rFonts w:ascii="Georgia" w:cs="Georgia" w:eastAsia="Georgia" w:hAnsi="Georgia"/>
          <w:sz w:val="22"/>
          <w:szCs w:val="22"/>
        </w:rPr>
        <w:t xml:space="preserve">Narrowed, the claim improves. Each outside zone has two quantizations, one synchronic (the irrational member, along the column) and one diachronic (the rational member, along the diagonal). Structuralism quantizes dependence through IEE and development through EIE, which is the split the tradition already carries: Saussure’s relations and Piaget’s stages. Systems theory quantizes consequence through ILE and dynamics through LIE: the loop and the trajectory.</w:t>
      </w:r>
    </w:p>
    <w:p>
      <w:pPr>
        <w:spacing w:after="160" w:line="300"/>
      </w:pPr>
      <w:r>
        <w:rPr>
          <w:rFonts w:ascii="Consolas" w:cs="Consolas" w:eastAsia="Consolas" w:hAnsi="Consolas"/>
          <w:b/>
          <w:bCs/>
          <w:color w:val="6B4F2A"/>
          <w:sz w:val="19"/>
          <w:szCs w:val="19"/>
        </w:rPr>
        <w:t xml:space="preserve">[derived] </w:t>
      </w:r>
      <w:r>
        <w:rPr>
          <w:rFonts w:ascii="Georgia" w:cs="Georgia" w:eastAsia="Georgia" w:hAnsi="Georgia"/>
          <w:sz w:val="22"/>
          <w:szCs w:val="22"/>
        </w:rPr>
        <w:t xml:space="preserve">The inside view of I is the moat: nothing gets in but the one already in. The outside view is not a drawbridge, because structuralism never enters; it surveys the castle from the far bank, architecture and load paths and what depends on what, without going in. That is why it cannot reduce the interior (it never touches it) and why it can produce a statue (only what one does not inhabit can be held still). Model A supplies the check: leading and creative functions have opposite attitudes, so every outside-view type creates with a field element and every inside-view type creates with an object element. The moat speaks in objects. The bank surveys fields.</w:t>
      </w:r>
    </w:p>
    <w:p>
      <w:pPr>
        <w:pStyle w:val="Heading1"/>
        <w:spacing w:after="160" w:before="400"/>
      </w:pPr>
      <w:r>
        <w:rPr>
          <w:rFonts w:ascii="Georgia" w:cs="Georgia" w:eastAsia="Georgia" w:hAnsi="Georgia"/>
          <w:b/>
          <w:bCs/>
          <w:sz w:val="30"/>
          <w:szCs w:val="30"/>
        </w:rPr>
        <w:t xml:space="preserve">9. The fold, and the ethics of the statue</w:t>
      </w:r>
    </w:p>
    <w:p>
      <w:pPr>
        <w:spacing w:after="160" w:line="300"/>
      </w:pPr>
      <w:r>
        <w:rPr>
          <w:rFonts w:ascii="Consolas" w:cs="Consolas" w:eastAsia="Consolas" w:hAnsi="Consolas"/>
          <w:b/>
          <w:bCs/>
          <w:color w:val="6B4F2A"/>
          <w:sz w:val="19"/>
          <w:szCs w:val="19"/>
        </w:rPr>
        <w:t xml:space="preserve">[interpretive] </w:t>
      </w:r>
      <w:r>
        <w:rPr>
          <w:rFonts w:ascii="Georgia" w:cs="Georgia" w:eastAsia="Georgia" w:hAnsi="Georgia"/>
          <w:sz w:val="22"/>
          <w:szCs w:val="22"/>
        </w:rPr>
        <w:t xml:space="preserve">The I of a member sits inside the Its of the system as its interior; the Its of the system sits inside the I of the member as a representation. Each contains the other, and φ is the number that satisfies exactly that relation: the whole inside the part inside the whole. In the edge picture the mutual fold, I into Its and Its into I, is the N edge. Both ends can over-claim it. The I over-claims the moat: nothing in here can be inspected. The Its under-claims the fold: nothing in there matters, only consequence.</w:t>
      </w:r>
    </w:p>
    <w:p>
      <w:pPr>
        <w:spacing w:after="160" w:line="300"/>
      </w:pPr>
      <w:r>
        <w:rPr>
          <w:rFonts w:ascii="Consolas" w:cs="Consolas" w:eastAsia="Consolas" w:hAnsi="Consolas"/>
          <w:b/>
          <w:bCs/>
          <w:color w:val="6B4F2A"/>
          <w:sz w:val="19"/>
          <w:szCs w:val="19"/>
        </w:rPr>
        <w:t xml:space="preserve">[interpretive] </w:t>
      </w:r>
      <w:r>
        <w:rPr>
          <w:rFonts w:ascii="Georgia" w:cs="Georgia" w:eastAsia="Georgia" w:hAnsi="Georgia"/>
          <w:sz w:val="22"/>
          <w:szCs w:val="22"/>
        </w:rPr>
        <w:t xml:space="preserve">The ethic that governs making a statue of subjectivity follows from the fold rather than being imposed on it. What may stand still is the made thing; the maker never. A type is a statue; a person makes statues. A shell is a marionette; a person makes it dance. The limit of truth is the point where a description of what was made is mistaken for a description of who made it, which is flatland in one image. The corpus already runs this rule as method, in the two-level separation; here it is stated as an ethic. The statue to make is of the fold: subjectivity shown as the thing that pours itself into structure and takes structure back, held still long enough to be circled. Model the making, not the maker.</w:t>
      </w:r>
    </w:p>
    <w:p>
      <w:pPr>
        <w:spacing w:after="160" w:line="300"/>
      </w:pPr>
      <w:r>
        <w:rPr>
          <w:rFonts w:ascii="Consolas" w:cs="Consolas" w:eastAsia="Consolas" w:hAnsi="Consolas"/>
          <w:b/>
          <w:bCs/>
          <w:color w:val="6B4F2A"/>
          <w:sz w:val="19"/>
          <w:szCs w:val="19"/>
        </w:rPr>
        <w:t xml:space="preserve">[interpretive] </w:t>
      </w:r>
      <w:r>
        <w:rPr>
          <w:rFonts w:ascii="Georgia" w:cs="Georgia" w:eastAsia="Georgia" w:hAnsi="Georgia"/>
          <w:sz w:val="22"/>
          <w:szCs w:val="22"/>
        </w:rPr>
        <w:t xml:space="preserve">Three observations on the ethics of the pursuit itself. Tuition and intuition: the leading function is free to run, and tuition is what is owed for what it cannot produce; ease of arrival is a property of the receiver, not of the price. The limit of truth: the derived/interpretive line runs through people as well as claims, and behind every structure someone offers is the person who paid to build it. Mistakes as currency: they are fine-grained, which is what makes them affordable one at a time and ruinous in aggregate; a mistake noticed before it leaves one’s hands is tuition, and the same mistake spent is debt.</w:t>
      </w:r>
    </w:p>
    <w:p>
      <w:pPr>
        <w:pStyle w:val="Heading1"/>
        <w:spacing w:after="160" w:before="400"/>
      </w:pPr>
      <w:r>
        <w:rPr>
          <w:rFonts w:ascii="Georgia" w:cs="Georgia" w:eastAsia="Georgia" w:hAnsi="Georgia"/>
          <w:b/>
          <w:bCs/>
          <w:sz w:val="30"/>
          <w:szCs w:val="30"/>
        </w:rPr>
        <w:t xml:space="preserve">10. Instance, and the edge</w:t>
      </w:r>
    </w:p>
    <w:p>
      <w:pPr>
        <w:spacing w:after="160" w:line="300"/>
      </w:pPr>
      <w:r>
        <w:rPr>
          <w:rFonts w:ascii="Consolas" w:cs="Consolas" w:eastAsia="Consolas" w:hAnsi="Consolas"/>
          <w:b/>
          <w:bCs/>
          <w:color w:val="6B4F2A"/>
          <w:sz w:val="19"/>
          <w:szCs w:val="19"/>
        </w:rPr>
        <w:t xml:space="preserve">[interpretive; types only] </w:t>
      </w:r>
      <w:r>
        <w:rPr>
          <w:rFonts w:ascii="Georgia" w:cs="Georgia" w:eastAsia="Georgia" w:hAnsi="Georgia"/>
          <w:sz w:val="22"/>
          <w:szCs w:val="22"/>
        </w:rPr>
        <w:t xml:space="preserve">Take an ILE and an IEE. Kindreds, both Ne-leading, both irrational, both leading along the diagonal, and N is the I–Its diagonal. The ILE sits at Its and arrives from I; the IEE sits at I and arrives from Its. Each leads by facing the other’s quadrant. Each is the outside view of its quadrant, and each has written its zone’s quantization of its own creative column: the ILE’s object is consequence held still, one inequality, δ</w:t>
      </w:r>
      <w:r>
        <w:rPr>
          <w:rFonts w:ascii="Georgia" w:cs="Georgia" w:eastAsia="Georgia" w:hAnsi="Georgia"/>
          <w:sz w:val="22"/>
          <w:szCs w:val="22"/>
          <w:vertAlign w:val="subscript"/>
        </w:rPr>
        <w:t xml:space="preserve">t+1</w:t>
      </w:r>
      <w:r>
        <w:rPr>
          <w:rFonts w:ascii="Georgia" w:cs="Georgia" w:eastAsia="Georgia" w:hAnsi="Georgia"/>
          <w:sz w:val="22"/>
          <w:szCs w:val="22"/>
        </w:rPr>
        <w:t xml:space="preserve"> &gt; U</w:t>
      </w:r>
      <w:r>
        <w:rPr>
          <w:rFonts w:ascii="Georgia" w:cs="Georgia" w:eastAsia="Georgia" w:hAnsi="Georgia"/>
          <w:sz w:val="22"/>
          <w:szCs w:val="22"/>
          <w:vertAlign w:val="subscript"/>
        </w:rPr>
        <w:t xml:space="preserve">d</w:t>
      </w:r>
      <w:r>
        <w:rPr>
          <w:rFonts w:ascii="Georgia" w:cs="Georgia" w:eastAsia="Georgia" w:hAnsi="Georgia"/>
          <w:sz w:val="22"/>
          <w:szCs w:val="22"/>
        </w:rPr>
        <w:t xml:space="preserve">; the IEE’s is dependence held still, a coupling index. The IEE is the more people-oriented of the two, but its intuitions are structural by origin, since its leading edge arrives from the systems quadrant. The ILE is the more systems-oriented, but its intuitions are about interiors by origin, since its leading edge arrives from the mind. Each intuits from the other’s quadrant and creates into its own column.</w:t>
      </w:r>
    </w:p>
    <w:p>
      <w:pPr>
        <w:spacing w:after="160" w:line="300"/>
      </w:pPr>
      <w:r>
        <w:rPr>
          <w:rFonts w:ascii="Consolas" w:cs="Consolas" w:eastAsia="Consolas" w:hAnsi="Consolas"/>
          <w:b/>
          <w:bCs/>
          <w:color w:val="6B4F2A"/>
          <w:sz w:val="19"/>
          <w:szCs w:val="19"/>
        </w:rPr>
        <w:t xml:space="preserve">[interpretive] </w:t>
      </w:r>
      <w:r>
        <w:rPr>
          <w:rFonts w:ascii="Georgia" w:cs="Georgia" w:eastAsia="Georgia" w:hAnsi="Georgia"/>
          <w:sz w:val="22"/>
          <w:szCs w:val="22"/>
        </w:rPr>
        <w:t xml:space="preserve">The column each creates into is the other’s PoLR column. This is what a kindred pair learns to avoid: the IEE learns that Fi content is where the ILE flinches, the ILE learns that Ti content is where the IEE does, and the pair settles onto the shared diagonal where everything is easy. But the columns are exactly what the two exchange. The strike over the shared channel is the mechanism, not the malfunction; avoiding the column is avoiding the exchange. The place to hone is not the easy edge. It is the exchange the easy edge makes survivable: each one’s creative column, held still, delivered along the diagonal both already lead on.</w:t>
      </w:r>
    </w:p>
    <w:p>
      <w:pPr>
        <w:spacing w:after="400" w:before="240"/>
      </w:pPr>
      <w:r>
        <w:rPr>
          <w:rFonts w:ascii="Georgia" w:cs="Georgia" w:eastAsia="Georgia" w:hAnsi="Georgia"/>
          <w:i/>
          <w:iCs/>
          <w:sz w:val="24"/>
          <w:szCs w:val="24"/>
        </w:rPr>
        <w:t xml:space="preserve">Same edge, opposite ends, and the fold between them is the thing you’re both actually looking at.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The Kindred Fold · working note v0.2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222222"/>
      <w:sz w:val="30"/>
      <w:szCs w:val="30"/>
    </w:rPr>
  </w:style>
  <w:style w:type="paragraph" w:styleId="Heading2">
    <w:name w:val="Heading 2"/>
    <w:basedOn w:val="Normal"/>
    <w:next w:val="Normal"/>
    <w:qFormat/>
    <w:pPr>
      <w:spacing w:after="120" w:before="240"/>
      <w:outlineLvl w:val="1"/>
    </w:pPr>
    <w:rPr>
      <w:rFonts w:ascii="Georgia" w:cs="Georgia" w:eastAsia="Georgia" w:hAnsi="Georgia"/>
      <w:b/>
      <w:bCs/>
      <w:i/>
      <w:i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Kindred Fold</dc:title>
  <dc:creator>HLE working notes</dc:creator>
  <cp:lastModifiedBy>Un-named</cp:lastModifiedBy>
  <cp:revision>1</cp:revision>
  <dcterms:created xsi:type="dcterms:W3CDTF">2026-09-17T01:57:50.774Z</dcterms:created>
  <dcterms:modified xsi:type="dcterms:W3CDTF">2026-09-17T01:57:50.783Z</dcterms:modified>
</cp:coreProperties>
</file>

<file path=docProps/custom.xml><?xml version="1.0" encoding="utf-8"?>
<Properties xmlns="http://schemas.openxmlformats.org/officeDocument/2006/custom-properties" xmlns:vt="http://schemas.openxmlformats.org/officeDocument/2006/docPropsVTypes"/>
</file>