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Automated fracture detection and level identification on trauma radiographs</w:t>
      </w:r>
    </w:p>
    <w:p>
      <w:pPr>
        <w:pStyle w:val="Subtitle"/>
      </w:pPr>
      <w:r>
        <w:t xml:space="preserve">Analysis plan under WSU IRB-21-10-4123, Improving Outcome in Orthopaedics Trauma Care (PI: Rahul Vaidya, MD)</w:t>
      </w:r>
    </w:p>
    <w:p>
      <w:pPr>
        <w:pStyle w:val="Author"/>
      </w:pPr>
      <w:r>
        <w:t xml:space="preserve">Gregory Schwing, MD, PhD — Department of Surgery, Detroit Medical Center / Wayne State University</w:t>
      </w:r>
    </w:p>
    <w:p>
      <w:pPr>
        <w:pStyle w:val="Date"/>
      </w:pPr>
      <w:r>
        <w:t xml:space="preserve">September 2026</w:t>
      </w:r>
    </w:p>
    <w:bookmarkStart w:id="9" w:name="what-we-want-to-do"/>
    <w:p>
      <w:pPr>
        <w:pStyle w:val="Heading1"/>
      </w:pPr>
      <w:r>
        <w:t xml:space="preserve">What we want to do</w:t>
      </w:r>
    </w:p>
    <w:p>
      <w:pPr>
        <w:pStyle w:val="FirstParagraph"/>
      </w:pPr>
      <w:r>
        <w:t xml:space="preserve">We want to train a model that reads a trauma spine radiograph and reports three things:</w:t>
      </w:r>
      <w:r>
        <w:t xml:space="preserve"> </w:t>
      </w:r>
      <w:r>
        <w:t xml:space="preserve">whether there is a fracture, which vertebra it is in, and whether it is displaced. We then</w:t>
      </w:r>
      <w:r>
        <w:t xml:space="preserve"> </w:t>
      </w:r>
      <w:r>
        <w:t xml:space="preserve">want to check how often it is right using the imaging and reports already collected under the</w:t>
      </w:r>
      <w:r>
        <w:t xml:space="preserve"> </w:t>
      </w:r>
      <w:r>
        <w:t xml:space="preserve">Trauma QI protocol.</w:t>
      </w:r>
    </w:p>
    <w:p>
      <w:pPr>
        <w:pStyle w:val="BodyText"/>
      </w:pPr>
      <w:r>
        <w:t xml:space="preserve">This is a retrospective analysis of existing imaging. Nothing the model produces goes into</w:t>
      </w:r>
      <w:r>
        <w:t xml:space="preserve"> </w:t>
      </w:r>
      <w:r>
        <w:t xml:space="preserve">a chart, gets shown to a treating physician, or affects any patient’s care. The output is a</w:t>
      </w:r>
      <w:r>
        <w:t xml:space="preserve"> </w:t>
      </w:r>
      <w:r>
        <w:t xml:space="preserve">paper and a set of model weights.</w:t>
      </w:r>
    </w:p>
    <w:bookmarkEnd w:id="9"/>
    <w:bookmarkStart w:id="10" w:name="why-this-is-worth-doing"/>
    <w:p>
      <w:pPr>
        <w:pStyle w:val="Heading1"/>
      </w:pPr>
      <w:r>
        <w:t xml:space="preserve">Why this is worth doing</w:t>
      </w:r>
    </w:p>
    <w:p>
      <w:pPr>
        <w:pStyle w:val="FirstParagraph"/>
      </w:pPr>
      <w:r>
        <w:t xml:space="preserve">Commercial fracture detection already exists and works. GLEAMER’s BoneView is FDA-cleared for</w:t>
      </w:r>
      <w:r>
        <w:t xml:space="preserve"> </w:t>
      </w:r>
      <w:r>
        <w:t xml:space="preserve">the appendicular skeleton, ribs, and thoracolumbar spine, runs in over 300 hospitals, and in</w:t>
      </w:r>
      <w:r>
        <w:t xml:space="preserve"> </w:t>
      </w:r>
      <w:r>
        <w:t xml:space="preserve">its reader study improved fracture sensitivity by about 10 points and cut false negatives by</w:t>
      </w:r>
      <w:r>
        <w:t xml:space="preserve"> </w:t>
      </w:r>
      <w:r>
        <w:t xml:space="preserve">29%.</w:t>
      </w:r>
      <w:r>
        <w:rPr>
          <w:vertAlign w:val="superscript"/>
        </w:rPr>
        <w:t xml:space="preserve">1</w:t>
      </w:r>
      <w:r>
        <w:t xml:space="preserve"> </w:t>
      </w:r>
      <w:r>
        <w:t xml:space="preserve">We are not trying to beat that.</w:t>
      </w:r>
    </w:p>
    <w:p>
      <w:pPr>
        <w:pStyle w:val="BodyText"/>
      </w:pPr>
      <w:r>
        <w:t xml:space="preserve">The problem these tools do not solve is naming the level. A detector that says</w:t>
      </w:r>
      <w:r>
        <w:t xml:space="preserve"> </w:t>
      </w:r>
      <w:r>
        <w:t xml:space="preserve">“fracture at</w:t>
      </w:r>
      <w:r>
        <w:t xml:space="preserve"> </w:t>
      </w:r>
      <w:r>
        <w:t xml:space="preserve">L1”</w:t>
      </w:r>
      <w:r>
        <w:t xml:space="preserve"> </w:t>
      </w:r>
      <w:r>
        <w:t xml:space="preserve">gets there by counting vertebrae on the film, and counting is unreliable in exactly the</w:t>
      </w:r>
      <w:r>
        <w:t xml:space="preserve"> </w:t>
      </w:r>
      <w:r>
        <w:t xml:space="preserve">patients where it matters. Lumbosacral transitional vertebrae occur in somewhere between 4%</w:t>
      </w:r>
      <w:r>
        <w:t xml:space="preserve"> </w:t>
      </w:r>
      <w:r>
        <w:t xml:space="preserve">and 30% of people depending on the definition,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the accepted way to number the spine is</w:t>
      </w:r>
      <w:r>
        <w:t xml:space="preserve"> </w:t>
      </w:r>
      <w:r>
        <w:t xml:space="preserve">to count down from C2 on whole-spine imaging</w:t>
      </w:r>
      <w:r>
        <w:rPr>
          <w:vertAlign w:val="superscript"/>
        </w:rPr>
        <w:t xml:space="preserve">3</w:t>
      </w:r>
      <w:r>
        <w:t xml:space="preserve"> </w:t>
      </w:r>
      <w:r>
        <w:t xml:space="preserve">— which no one gets in the trauma bay.</w:t>
      </w:r>
      <w:r>
        <w:t xml:space="preserve"> </w:t>
      </w:r>
      <w:r>
        <w:t xml:space="preserve">Wrong-level spine surgery happens roughly once per 3,100 procedures and transitional anatomy</w:t>
      </w:r>
      <w:r>
        <w:t xml:space="preserve"> </w:t>
      </w:r>
      <w:r>
        <w:t xml:space="preserve">is the most common reason.</w:t>
      </w:r>
      <w:r>
        <w:rPr>
          <w:vertAlign w:val="superscript"/>
        </w:rPr>
        <w:t xml:space="preserve">4</w:t>
      </w:r>
    </w:p>
    <w:p>
      <w:pPr>
        <w:pStyle w:val="BodyText"/>
      </w:pPr>
      <w:r>
        <w:t xml:space="preserve">For a trauma surgeon the practical version is this: a confident wrong level on the initial</w:t>
      </w:r>
      <w:r>
        <w:t xml:space="preserve"> </w:t>
      </w:r>
      <w:r>
        <w:t xml:space="preserve">film is worse than no level at all, and it will be wrong most often in the patient whose</w:t>
      </w:r>
      <w:r>
        <w:t xml:space="preserve"> </w:t>
      </w:r>
      <w:r>
        <w:t xml:space="preserve">anatomy is unusual. Same problem for ribs (numbered by counting) and for side (routinely</w:t>
      </w:r>
      <w:r>
        <w:t xml:space="preserve"> </w:t>
      </w:r>
      <w:r>
        <w:t xml:space="preserve">mislabeled — our own CT quality control caught four cases with a left hip labeled on the</w:t>
      </w:r>
      <w:r>
        <w:t xml:space="preserve"> </w:t>
      </w:r>
      <w:r>
        <w:t xml:space="preserve">patient’s right).</w:t>
      </w:r>
    </w:p>
    <w:p>
      <w:pPr>
        <w:pStyle w:val="BodyText"/>
      </w:pPr>
      <w:r>
        <w:t xml:space="preserve">We have a resource nobody else has for this. CTSpinoPelvic1K is a public CT dataset we</w:t>
      </w:r>
      <w:r>
        <w:t xml:space="preserve"> </w:t>
      </w:r>
      <w:r>
        <w:t xml:space="preserve">built: 802 scans with the spine, sacrum, hips, femora, and every rib labeled on one</w:t>
      </w:r>
      <w:r>
        <w:t xml:space="preserve"> </w:t>
      </w:r>
      <w:r>
        <w:t xml:space="preserve">coordinate frame, with explicit classes for L6, a thirteenth thoracic vertebra, a separate</w:t>
      </w:r>
      <w:r>
        <w:t xml:space="preserve"> </w:t>
      </w:r>
      <w:r>
        <w:t xml:space="preserve">S1, and lumbar ribs.</w:t>
      </w:r>
      <w:r>
        <w:rPr>
          <w:vertAlign w:val="superscript"/>
        </w:rPr>
        <w:t xml:space="preserve">5</w:t>
      </w:r>
      <w:r>
        <w:t xml:space="preserve"> </w:t>
      </w:r>
      <w:r>
        <w:t xml:space="preserve">It was built specifically to test whether a vertebra can be named</w:t>
      </w:r>
      <w:r>
        <w:t xml:space="preserve"> </w:t>
      </w:r>
      <w:r>
        <w:t xml:space="preserve">from its own appearance without counting from C2. That is the supervision a radiograph model</w:t>
      </w:r>
      <w:r>
        <w:t xml:space="preserve"> </w:t>
      </w:r>
      <w:r>
        <w:t xml:space="preserve">needs and cannot get from radiographs.</w:t>
      </w:r>
    </w:p>
    <w:bookmarkEnd w:id="10"/>
    <w:bookmarkStart w:id="11" w:name="X9340f70c6ce2d812cc0eeddcd56faa8996bc191"/>
    <w:p>
      <w:pPr>
        <w:pStyle w:val="Heading1"/>
      </w:pPr>
      <w:r>
        <w:t xml:space="preserve">Why radiographs, and whether we actually need CT</w:t>
      </w:r>
    </w:p>
    <w:p>
      <w:pPr>
        <w:pStyle w:val="FirstParagraph"/>
      </w:pPr>
      <w:r>
        <w:rPr>
          <w:b/>
          <w:bCs/>
        </w:rPr>
        <w:t xml:space="preserve">Radiographs are the target, so they are non-negotiable.</w:t>
      </w:r>
      <w:r>
        <w:t xml:space="preserve"> </w:t>
      </w:r>
      <w:r>
        <w:t xml:space="preserve">The model has to work on the</w:t>
      </w:r>
      <w:r>
        <w:t xml:space="preserve"> </w:t>
      </w:r>
      <w:r>
        <w:t xml:space="preserve">film a patient actually gets first. Training and evaluation both have to be on real trauma</w:t>
      </w:r>
      <w:r>
        <w:t xml:space="preserve"> </w:t>
      </w:r>
      <w:r>
        <w:t xml:space="preserve">radiographs from this population, AP and lateral, because the AP carries the twelfth rib and</w:t>
      </w:r>
      <w:r>
        <w:t xml:space="preserve"> </w:t>
      </w:r>
      <w:r>
        <w:t xml:space="preserve">the transverse processes (what decides the level) and the lateral carries the fracture</w:t>
      </w:r>
      <w:r>
        <w:t xml:space="preserve"> </w:t>
      </w:r>
      <w:r>
        <w:t xml:space="preserve">morphology and the sagittal alignment.</w:t>
      </w:r>
    </w:p>
    <w:p>
      <w:pPr>
        <w:pStyle w:val="BodyText"/>
      </w:pPr>
      <w:r>
        <w:rPr>
          <w:b/>
          <w:bCs/>
        </w:rPr>
        <w:t xml:space="preserve">CT is needed for less than it looks like.</w:t>
      </w:r>
      <w:r>
        <w:t xml:space="preserve"> </w:t>
      </w:r>
      <w:r>
        <w:t xml:space="preserve">It is not needed to train the detector. The</w:t>
      </w:r>
      <w:r>
        <w:t xml:space="preserve"> </w:t>
      </w:r>
      <w:r>
        <w:t xml:space="preserve">fracture and outline heads train on public radiograph datasets, and the level-naming head</w:t>
      </w:r>
      <w:r>
        <w:t xml:space="preserve"> </w:t>
      </w:r>
      <w:r>
        <w:t xml:space="preserve">pretrains on radiograph-like projections rendered from our own CT dataset. What DMC CT gives</w:t>
      </w:r>
      <w:r>
        <w:t xml:space="preserve"> </w:t>
      </w:r>
      <w:r>
        <w:t xml:space="preserve">us is ground truth for two specific questions the radiograph cannot answer about itself: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Was the level right?</w:t>
      </w:r>
      <w:r>
        <w:t xml:space="preserve"> </w:t>
      </w:r>
      <w:r>
        <w:t xml:space="preserve">On a transitional spine, the film cannot settle which vertebra is</w:t>
      </w:r>
      <w:r>
        <w:t xml:space="preserve"> </w:t>
      </w:r>
      <w:r>
        <w:t xml:space="preserve">which. The CT can. This is the one comparison that makes the project worth doing, and it</w:t>
      </w:r>
      <w:r>
        <w:t xml:space="preserve"> </w:t>
      </w:r>
      <w:r>
        <w:t xml:space="preserve">only needs CT for patients who had both studies in the same encounter.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Was the fracture missed?</w:t>
      </w:r>
      <w:r>
        <w:t xml:space="preserve"> </w:t>
      </w:r>
      <w:r>
        <w:t xml:space="preserve">The clinically meaningful error is a fracture not seen on the</w:t>
      </w:r>
      <w:r>
        <w:t xml:space="preserve"> </w:t>
      </w:r>
      <w:r>
        <w:t xml:space="preserve">initial film and found later on CT. To count those we need to know a CT was done and</w:t>
      </w:r>
      <w:r>
        <w:t xml:space="preserve"> </w:t>
      </w:r>
      <w:r>
        <w:t xml:space="preserve">what it showed. For this the</w:t>
      </w:r>
      <w:r>
        <w:t xml:space="preserve"> </w:t>
      </w:r>
      <w:r>
        <w:rPr>
          <w:b/>
          <w:bCs/>
        </w:rPr>
        <w:t xml:space="preserve">CT report</w:t>
      </w:r>
      <w:r>
        <w:t xml:space="preserve"> </w:t>
      </w:r>
      <w:r>
        <w:t xml:space="preserve">is enough; we do not need the images.</w:t>
      </w:r>
    </w:p>
    <w:p>
      <w:pPr>
        <w:pStyle w:val="FirstParagraph"/>
      </w:pPr>
      <w:r>
        <w:t xml:space="preserve">So the honest data request is: all trauma spine radiographs in the log; CT</w:t>
      </w:r>
      <w:r>
        <w:t xml:space="preserve"> </w:t>
      </w:r>
      <w:r>
        <w:rPr>
          <w:i/>
          <w:iCs/>
        </w:rPr>
        <w:t xml:space="preserve">reports</w:t>
      </w:r>
      <w:r>
        <w:t xml:space="preserve"> </w:t>
      </w:r>
      <w:r>
        <w:t xml:space="preserve">for the</w:t>
      </w:r>
      <w:r>
        <w:t xml:space="preserve"> </w:t>
      </w:r>
      <w:r>
        <w:t xml:space="preserve">same encounters; and CT</w:t>
      </w:r>
      <w:r>
        <w:t xml:space="preserve"> </w:t>
      </w:r>
      <w:r>
        <w:rPr>
          <w:i/>
          <w:iCs/>
        </w:rPr>
        <w:t xml:space="preserve">images</w:t>
      </w:r>
      <w:r>
        <w:t xml:space="preserve"> </w:t>
      </w:r>
      <w:r>
        <w:t xml:space="preserve">only for the paired subset used for the level-naming</w:t>
      </w:r>
      <w:r>
        <w:t xml:space="preserve"> </w:t>
      </w:r>
      <w:r>
        <w:t xml:space="preserve">check. Everything else about the model can be built without touching DMC CT at all.</w:t>
      </w:r>
    </w:p>
    <w:bookmarkEnd w:id="11"/>
    <w:bookmarkStart w:id="12" w:name="what-we-would-pull-from-the-protocol"/>
    <w:p>
      <w:pPr>
        <w:pStyle w:val="Heading1"/>
      </w:pPr>
      <w:r>
        <w:t xml:space="preserve">What we would pull from the protocol</w:t>
      </w:r>
    </w:p>
    <w:p>
      <w:pPr>
        <w:pStyle w:val="FirstParagraph"/>
      </w:pPr>
      <w:r>
        <w:t xml:space="preserve">From the trauma log and PACS, for patients already captured under the Trauma QI protocol:</w:t>
      </w:r>
    </w:p>
    <w:p>
      <w:pPr>
        <w:pStyle w:val="Compact"/>
        <w:numPr>
          <w:ilvl w:val="0"/>
          <w:numId w:val="1002"/>
        </w:numPr>
      </w:pPr>
      <w:r>
        <w:t xml:space="preserve">Thoracolumbar and lumbar spine radiographs (AP and lateral), with the dictated report.</w:t>
      </w:r>
    </w:p>
    <w:p>
      <w:pPr>
        <w:pStyle w:val="Compact"/>
        <w:numPr>
          <w:ilvl w:val="0"/>
          <w:numId w:val="1002"/>
        </w:numPr>
      </w:pPr>
      <w:r>
        <w:t xml:space="preserve">The CT report for any spine CT in the same encounter.</w:t>
      </w:r>
    </w:p>
    <w:p>
      <w:pPr>
        <w:pStyle w:val="Compact"/>
        <w:numPr>
          <w:ilvl w:val="0"/>
          <w:numId w:val="1002"/>
        </w:numPr>
      </w:pPr>
      <w:r>
        <w:t xml:space="preserve">CT images for the subset of encounters with both a radiograph and a spine CT.</w:t>
      </w:r>
    </w:p>
    <w:p>
      <w:pPr>
        <w:pStyle w:val="Compact"/>
        <w:numPr>
          <w:ilvl w:val="0"/>
          <w:numId w:val="1002"/>
        </w:numPr>
      </w:pPr>
      <w:r>
        <w:t xml:space="preserve">Age, sex, mechanism, and whether the injury was operative. No names, MRNs, or dates</w:t>
      </w:r>
      <w:r>
        <w:t xml:space="preserve"> </w:t>
      </w:r>
      <w:r>
        <w:t xml:space="preserve">leave the DMC environment; the study ID is generated at pull.</w:t>
      </w:r>
    </w:p>
    <w:p>
      <w:pPr>
        <w:pStyle w:val="FirstParagraph"/>
      </w:pPr>
      <w:r>
        <w:t xml:space="preserve">A retrospective, de-identified pull. Volume to be set with the lab once we know the log’s</w:t>
      </w:r>
      <w:r>
        <w:t xml:space="preserve"> </w:t>
      </w:r>
      <w:r>
        <w:t xml:space="preserve">date range.</w:t>
      </w:r>
    </w:p>
    <w:bookmarkEnd w:id="12"/>
    <w:bookmarkStart w:id="13" w:name="what-we-would-do-with-it"/>
    <w:p>
      <w:pPr>
        <w:pStyle w:val="Heading1"/>
      </w:pPr>
      <w:r>
        <w:t xml:space="preserve">What we would do with it</w:t>
      </w:r>
    </w:p>
    <w:p>
      <w:pPr>
        <w:pStyle w:val="FirstParagraph"/>
      </w:pPr>
      <w:r>
        <w:rPr>
          <w:b/>
          <w:bCs/>
        </w:rPr>
        <w:t xml:space="preserve">Stage 1 — build the model on public data.</w:t>
      </w:r>
      <w:r>
        <w:t xml:space="preserve"> </w:t>
      </w:r>
      <w:r>
        <w:t xml:space="preserve">This happens first and needs nothing from DMC.</w:t>
      </w:r>
      <w:r>
        <w:t xml:space="preserve"> </w:t>
      </w:r>
      <w:r>
        <w:t xml:space="preserve">Fracture detection and outlining train on FracAtlas (4,083 radiographs with segmentation</w:t>
      </w:r>
      <w:r>
        <w:t xml:space="preserve"> </w:t>
      </w:r>
      <w:r>
        <w:t xml:space="preserve">masks)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GRAZPEDWRI-DX (20,000 wrist films with boxes); level naming trains on</w:t>
      </w:r>
      <w:r>
        <w:t xml:space="preserve"> </w:t>
      </w:r>
      <w:r>
        <w:t xml:space="preserve">projections rendered from CTSpinoPelvic1K plus VinDr-RibCXR for rib numbering; the</w:t>
      </w:r>
      <w:r>
        <w:t xml:space="preserve"> </w:t>
      </w:r>
      <w:r>
        <w:t xml:space="preserve">spinopelvic measurements are already benchmarked on the CT. By the time we ask for DMC data</w:t>
      </w:r>
      <w:r>
        <w:t xml:space="preserve"> </w:t>
      </w:r>
      <w:r>
        <w:t xml:space="preserve">we have a working model with published-benchmark numbers.</w:t>
      </w:r>
    </w:p>
    <w:p>
      <w:pPr>
        <w:pStyle w:val="BodyText"/>
      </w:pPr>
      <w:r>
        <w:rPr>
          <w:b/>
          <w:bCs/>
        </w:rPr>
        <w:t xml:space="preserve">Stage 2 — refine on DMC radiographs.</w:t>
      </w:r>
      <w:r>
        <w:t xml:space="preserve"> </w:t>
      </w:r>
      <w:r>
        <w:t xml:space="preserve">Fine-tune on the de-identified trauma films so the</w:t>
      </w:r>
      <w:r>
        <w:t xml:space="preserve"> </w:t>
      </w:r>
      <w:r>
        <w:t xml:space="preserve">model has seen our scanners, our protocols, and our patients.</w:t>
      </w:r>
    </w:p>
    <w:p>
      <w:pPr>
        <w:pStyle w:val="BodyText"/>
      </w:pPr>
      <w:r>
        <w:rPr>
          <w:b/>
          <w:bCs/>
        </w:rPr>
        <w:t xml:space="preserve">Stage 3 — evaluate against CT.</w:t>
      </w:r>
      <w:r>
        <w:t xml:space="preserve"> </w:t>
      </w:r>
      <w:r>
        <w:t xml:space="preserve">On a held-out set never used for training, report:</w:t>
      </w:r>
    </w:p>
    <w:p>
      <w:pPr>
        <w:pStyle w:val="Compact"/>
        <w:numPr>
          <w:ilvl w:val="0"/>
          <w:numId w:val="1003"/>
        </w:numPr>
      </w:pPr>
      <w:r>
        <w:t xml:space="preserve">Sensitivity for fractures that were missed on the initial film and found on CT. That is</w:t>
      </w:r>
      <w:r>
        <w:t xml:space="preserve"> </w:t>
      </w:r>
      <w:r>
        <w:t xml:space="preserve">the number that matters clinically, not just an AUC.</w:t>
      </w:r>
    </w:p>
    <w:p>
      <w:pPr>
        <w:pStyle w:val="Compact"/>
        <w:numPr>
          <w:ilvl w:val="0"/>
          <w:numId w:val="1003"/>
        </w:numPr>
      </w:pPr>
      <w:r>
        <w:t xml:space="preserve">Level agreement with CT, reported separately for normal and transitional spines. Averaging</w:t>
      </w:r>
      <w:r>
        <w:t xml:space="preserve"> </w:t>
      </w:r>
      <w:r>
        <w:t xml:space="preserve">the two hides the failure in the 4–30% where it actually happens.</w:t>
      </w:r>
    </w:p>
    <w:p>
      <w:pPr>
        <w:pStyle w:val="Compact"/>
        <w:numPr>
          <w:ilvl w:val="0"/>
          <w:numId w:val="1003"/>
        </w:numPr>
      </w:pPr>
      <w:r>
        <w:t xml:space="preserve">Displacement call against the report.</w:t>
      </w:r>
    </w:p>
    <w:p>
      <w:pPr>
        <w:pStyle w:val="Compact"/>
        <w:numPr>
          <w:ilvl w:val="0"/>
          <w:numId w:val="1003"/>
        </w:numPr>
      </w:pPr>
      <w:r>
        <w:t xml:space="preserve">Spinopelvic parameters against manual measurement, compared with the published error bands</w:t>
      </w:r>
      <w:r>
        <w:t xml:space="preserve"> </w:t>
      </w:r>
      <w:r>
        <w:t xml:space="preserve">(pooled mean absolute error for pelvic incidence is about 4°).</w:t>
      </w:r>
      <w:r>
        <w:rPr>
          <w:vertAlign w:val="superscript"/>
        </w:rPr>
        <w:t xml:space="preserve">7</w:t>
      </w:r>
    </w:p>
    <w:bookmarkEnd w:id="13"/>
    <w:bookmarkStart w:id="14" w:name="where-the-data-lives"/>
    <w:p>
      <w:pPr>
        <w:pStyle w:val="Heading1"/>
      </w:pPr>
      <w:r>
        <w:t xml:space="preserve">Where the data lives</w:t>
      </w:r>
    </w:p>
    <w:p>
      <w:pPr>
        <w:pStyle w:val="FirstParagraph"/>
      </w:pPr>
      <w:r>
        <w:t xml:space="preserve">All DMC imaging is de-identified before it leaves the DMC environment and is then stored and</w:t>
      </w:r>
      <w:r>
        <w:t xml:space="preserve"> </w:t>
      </w:r>
      <w:r>
        <w:t xml:space="preserve">processed only on Wayne State research computing — the WSU high-performance cluster, where</w:t>
      </w:r>
      <w:r>
        <w:t xml:space="preserve"> </w:t>
      </w:r>
      <w:r>
        <w:t xml:space="preserve">our CT pipeline already runs. Nothing goes to a personal machine, a personal cloud account,</w:t>
      </w:r>
      <w:r>
        <w:t xml:space="preserve"> </w:t>
      </w:r>
      <w:r>
        <w:t xml:space="preserve">commercial cloud compute, or any third-party AI service. The models are open-weight and</w:t>
      </w:r>
      <w:r>
        <w:t xml:space="preserve"> </w:t>
      </w:r>
      <w:r>
        <w:t xml:space="preserve">trained locally, so no patient image ever leaves institutional storage. Access to the study</w:t>
      </w:r>
      <w:r>
        <w:t xml:space="preserve"> </w:t>
      </w:r>
      <w:r>
        <w:t xml:space="preserve">directory is limited to named study personnel. Any linkage to the record stays inside DMC</w:t>
      </w:r>
      <w:r>
        <w:t xml:space="preserve"> </w:t>
      </w:r>
      <w:r>
        <w:t xml:space="preserve">under the protocol.</w:t>
      </w:r>
    </w:p>
    <w:p>
      <w:pPr>
        <w:pStyle w:val="BodyText"/>
      </w:pPr>
      <w:r>
        <w:t xml:space="preserve">What gets published is model weights and aggregate numbers, not images. If a figure needs an</w:t>
      </w:r>
      <w:r>
        <w:t xml:space="preserve"> </w:t>
      </w:r>
      <w:r>
        <w:t xml:space="preserve">example radiograph we use a public-dataset case.</w:t>
      </w:r>
    </w:p>
    <w:bookmarkEnd w:id="14"/>
    <w:bookmarkStart w:id="15" w:name="X21a99f8b9ad68224522f2f0411e0a081e2a089b"/>
    <w:p>
      <w:pPr>
        <w:pStyle w:val="Heading1"/>
      </w:pPr>
      <w:r>
        <w:t xml:space="preserve">What the protocol covers, and what it does not</w:t>
      </w:r>
    </w:p>
    <w:p>
      <w:pPr>
        <w:pStyle w:val="FirstParagraph"/>
      </w:pPr>
      <w:r>
        <w:t xml:space="preserve">We read IRB-21-10-4123 (</w:t>
      </w:r>
      <w:r>
        <w:t xml:space="preserve">“Improving Outcome in Orthopaedics Trauma Care”</w:t>
      </w:r>
      <w:r>
        <w:t xml:space="preserve">, expedited,</w:t>
      </w:r>
      <w:r>
        <w:t xml:space="preserve"> </w:t>
      </w:r>
      <w:r>
        <w:t xml:space="preserve">approved June 2022, DMC Research Review RR#19981) against this plan.</w:t>
      </w:r>
    </w:p>
    <w:p>
      <w:pPr>
        <w:pStyle w:val="BodyText"/>
      </w:pPr>
      <w:r>
        <w:rPr>
          <w:b/>
          <w:bCs/>
        </w:rPr>
        <w:t xml:space="preserve">Already covered.</w:t>
      </w:r>
      <w:r>
        <w:t xml:space="preserve"> </w:t>
      </w:r>
      <w:r>
        <w:t xml:space="preserve">A retrospective secondary analysis of DMC orthopaedic trauma records</w:t>
      </w:r>
      <w:r>
        <w:t xml:space="preserve"> </w:t>
      </w:r>
      <w:r>
        <w:t xml:space="preserve">from the trauma registry and EMR, adults 18–99, under an approved waiver of consent and</w:t>
      </w:r>
      <w:r>
        <w:t xml:space="preserve"> </w:t>
      </w:r>
      <w:r>
        <w:t xml:space="preserve">waiver of HIPAA authorization, at DMC, with the author listed as an investigator. The</w:t>
      </w:r>
      <w:r>
        <w:t xml:space="preserve"> </w:t>
      </w:r>
      <w:r>
        <w:t xml:space="preserve">protocol’s stated aims include identifying new orthopaedic injury patterns, which is where</w:t>
      </w:r>
      <w:r>
        <w:t xml:space="preserve"> </w:t>
      </w:r>
      <w:r>
        <w:t xml:space="preserve">this work sits.</w:t>
      </w:r>
    </w:p>
    <w:p>
      <w:pPr>
        <w:pStyle w:val="BodyText"/>
      </w:pPr>
      <w:r>
        <w:rPr>
          <w:b/>
          <w:bCs/>
        </w:rPr>
        <w:t xml:space="preserve">Not in the protocol as written, and needing an amendment before we pull anything: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Imaging as a data source.</w:t>
      </w:r>
      <w:r>
        <w:t xml:space="preserve"> </w:t>
      </w:r>
      <w:r>
        <w:t xml:space="preserve">The approved data instrument is the</w:t>
      </w:r>
      <w:r>
        <w:t xml:space="preserve"> </w:t>
      </w:r>
      <w:r>
        <w:t xml:space="preserve">“Orthopaedic Trauma</w:t>
      </w:r>
      <w:r>
        <w:t xml:space="preserve"> </w:t>
      </w:r>
      <w:r>
        <w:t xml:space="preserve">Patient Variables”</w:t>
      </w:r>
      <w:r>
        <w:t xml:space="preserve"> </w:t>
      </w:r>
      <w:r>
        <w:t xml:space="preserve">sheet. Radiographs, CT, and PACS do not appear anywhere in the</w:t>
      </w:r>
      <w:r>
        <w:t xml:space="preserve"> </w:t>
      </w:r>
      <w:r>
        <w:t xml:space="preserve">protocol, and at the 2022 DMC review the team was asked to deselect</w:t>
      </w:r>
      <w:r>
        <w:t xml:space="preserve"> </w:t>
      </w:r>
      <w:r>
        <w:t xml:space="preserve">“DMC</w:t>
      </w:r>
      <w:r>
        <w:t xml:space="preserve"> </w:t>
      </w:r>
      <w:r>
        <w:t xml:space="preserve">Radiology/Imaging Services”</w:t>
      </w:r>
      <w:r>
        <w:t xml:space="preserve"> </w:t>
      </w:r>
      <w:r>
        <w:t xml:space="preserve">unless it would be used beyond reading records. Pulling</w:t>
      </w:r>
      <w:r>
        <w:t xml:space="preserve"> </w:t>
      </w:r>
      <w:r>
        <w:t xml:space="preserve">images from Radiology is a new data source.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Where data is stored.</w:t>
      </w:r>
      <w:r>
        <w:t xml:space="preserve"> </w:t>
      </w:r>
      <w:r>
        <w:t xml:space="preserve">The protocol states data is coded and kept on DMC Citrix and is</w:t>
      </w:r>
      <w:r>
        <w:t xml:space="preserve"> </w:t>
      </w:r>
      <w:r>
        <w:t xml:space="preserve">not shared outside the research team. Storing de-identified images on Wayne State</w:t>
      </w:r>
      <w:r>
        <w:t xml:space="preserve"> </w:t>
      </w:r>
      <w:r>
        <w:t xml:space="preserve">research computing is a change of location and needs to be written in, with the</w:t>
      </w:r>
      <w:r>
        <w:t xml:space="preserve"> </w:t>
      </w:r>
      <w:r>
        <w:t xml:space="preserve">de-identification step described.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What is done with it.</w:t>
      </w:r>
      <w:r>
        <w:t xml:space="preserve"> </w:t>
      </w:r>
      <w:r>
        <w:t xml:space="preserve">Procedures describe chart review. Model training is a new</w:t>
      </w:r>
      <w:r>
        <w:t xml:space="preserve"> </w:t>
      </w:r>
      <w:r>
        <w:t xml:space="preserve">analysis and should be named as such.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Record count.</w:t>
      </w:r>
      <w:r>
        <w:t xml:space="preserve"> </w:t>
      </w:r>
      <w:r>
        <w:t xml:space="preserve">2,000 charts are approved. The imaging cohort may exceed that.</w:t>
      </w:r>
    </w:p>
    <w:p>
      <w:pPr>
        <w:pStyle w:val="FirstParagraph"/>
      </w:pPr>
      <w:r>
        <w:t xml:space="preserve">None of this is out of the ordinary for this protocol — it has carried 46 approved</w:t>
      </w:r>
      <w:r>
        <w:t xml:space="preserve"> </w:t>
      </w:r>
      <w:r>
        <w:t xml:space="preserve">amendments since 2022, most turning around within two weeks. We would rather file the</w:t>
      </w:r>
      <w:r>
        <w:t xml:space="preserve"> </w:t>
      </w:r>
      <w:r>
        <w:t xml:space="preserve">amendment up front than discover mid-project that an imaging pull was not covered.</w:t>
      </w:r>
    </w:p>
    <w:bookmarkEnd w:id="15"/>
    <w:bookmarkStart w:id="16" w:name="what-we-are-asking-of-the-lab"/>
    <w:p>
      <w:pPr>
        <w:pStyle w:val="Heading1"/>
      </w:pPr>
      <w:r>
        <w:t xml:space="preserve">What we are asking of the lab</w:t>
      </w:r>
    </w:p>
    <w:p>
      <w:pPr>
        <w:pStyle w:val="Compact"/>
        <w:numPr>
          <w:ilvl w:val="0"/>
          <w:numId w:val="1005"/>
        </w:numPr>
      </w:pPr>
      <w:r>
        <w:t xml:space="preserve">A query of the trauma log for encounters with spine radiographs and the corresponding CT</w:t>
      </w:r>
      <w:r>
        <w:t xml:space="preserve"> </w:t>
      </w:r>
      <w:r>
        <w:t xml:space="preserve">reports, and an imaging pull for those encounters.</w:t>
      </w:r>
    </w:p>
    <w:p>
      <w:pPr>
        <w:pStyle w:val="Compact"/>
        <w:numPr>
          <w:ilvl w:val="0"/>
          <w:numId w:val="1005"/>
        </w:numPr>
      </w:pPr>
      <w:r>
        <w:t xml:space="preserve">An amendment to IRB-21-10-4123 covering the four items under</w:t>
      </w:r>
      <w:r>
        <w:t xml:space="preserve"> </w:t>
      </w:r>
      <w:r>
        <w:t xml:space="preserve">“What the protocol</w:t>
      </w:r>
      <w:r>
        <w:t xml:space="preserve"> </w:t>
      </w:r>
      <w:r>
        <w:t xml:space="preserve">covers, and what it does not”</w:t>
      </w:r>
      <w:r>
        <w:t xml:space="preserve"> </w:t>
      </w:r>
      <w:r>
        <w:t xml:space="preserve">below. The author’s addition to personnel (Amendment 47,</w:t>
      </w:r>
      <w:r>
        <w:t xml:space="preserve"> </w:t>
      </w:r>
      <w:r>
        <w:t xml:space="preserve">created 9/2/2026) is still pending; the scope items can ride on the same amendment or the</w:t>
      </w:r>
      <w:r>
        <w:t xml:space="preserve"> </w:t>
      </w:r>
      <w:r>
        <w:t xml:space="preserve">next one.</w:t>
      </w:r>
    </w:p>
    <w:p>
      <w:pPr>
        <w:pStyle w:val="Compact"/>
        <w:numPr>
          <w:ilvl w:val="0"/>
          <w:numId w:val="1005"/>
        </w:numPr>
      </w:pPr>
      <w:r>
        <w:t xml:space="preserve">A point of contact for questions about the log’s fields.</w:t>
      </w:r>
    </w:p>
    <w:p>
      <w:pPr>
        <w:pStyle w:val="FirstParagraph"/>
      </w:pPr>
      <w:r>
        <w:t xml:space="preserve">Radiology reads for label adjudication are already covered by two radiology residents who</w:t>
      </w:r>
      <w:r>
        <w:t xml:space="preserve"> </w:t>
      </w:r>
      <w:r>
        <w:t xml:space="preserve">work with us on the CT dataset. There is no reading burden on the trauma service.</w:t>
      </w:r>
    </w:p>
    <w:bookmarkEnd w:id="16"/>
    <w:bookmarkStart w:id="1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t xml:space="preserve">GLEAMER BoneView: FDA 510(k) clearance, March 2022; deployment and reader-study figures as</w:t>
      </w:r>
      <w:r>
        <w:t xml:space="preserve"> </w:t>
      </w:r>
      <w:r>
        <w:t xml:space="preserve">reported by the manufacturer. https://www.gleamer.ai</w:t>
      </w:r>
    </w:p>
    <w:p>
      <w:pPr>
        <w:pStyle w:val="Compact"/>
        <w:numPr>
          <w:ilvl w:val="0"/>
          <w:numId w:val="1006"/>
        </w:numPr>
      </w:pPr>
      <w:r>
        <w:t xml:space="preserve">Konin GP, Walz DM. Lumbosacral transitional vertebrae: classification, imaging findings,</w:t>
      </w:r>
      <w:r>
        <w:t xml:space="preserve"> </w:t>
      </w:r>
      <w:r>
        <w:t xml:space="preserve">and clinical relevance.</w:t>
      </w:r>
      <w:r>
        <w:t xml:space="preserve"> </w:t>
      </w:r>
      <w:r>
        <w:rPr>
          <w:i/>
          <w:iCs/>
        </w:rPr>
        <w:t xml:space="preserve">AJNR Am J Neuroradiol.</w:t>
      </w:r>
      <w:r>
        <w:t xml:space="preserve"> </w:t>
      </w:r>
      <w:r>
        <w:t xml:space="preserve">2010;31(10):1778–1786.</w:t>
      </w:r>
      <w:r>
        <w:t xml:space="preserve"> </w:t>
      </w:r>
      <w:r>
        <w:t xml:space="preserve">doi:10.3174/ajnr.A2036</w:t>
      </w:r>
    </w:p>
    <w:p>
      <w:pPr>
        <w:pStyle w:val="Compact"/>
        <w:numPr>
          <w:ilvl w:val="0"/>
          <w:numId w:val="1006"/>
        </w:numPr>
      </w:pPr>
      <w:r>
        <w:t xml:space="preserve">Lian J, Levine N, Cho W. A review of lumbosacral transitional vertebrae and associated</w:t>
      </w:r>
      <w:r>
        <w:t xml:space="preserve"> </w:t>
      </w:r>
      <w:r>
        <w:t xml:space="preserve">vertebral numeration.</w:t>
      </w:r>
      <w:r>
        <w:t xml:space="preserve"> </w:t>
      </w:r>
      <w:r>
        <w:rPr>
          <w:i/>
          <w:iCs/>
        </w:rPr>
        <w:t xml:space="preserve">Eur Spine J.</w:t>
      </w:r>
      <w:r>
        <w:t xml:space="preserve"> </w:t>
      </w:r>
      <w:r>
        <w:t xml:space="preserve">2018;27(5):995–1004. doi:10.1007/s00586-018-5554-8</w:t>
      </w:r>
    </w:p>
    <w:p>
      <w:pPr>
        <w:pStyle w:val="Compact"/>
        <w:numPr>
          <w:ilvl w:val="0"/>
          <w:numId w:val="1006"/>
        </w:numPr>
      </w:pPr>
      <w:r>
        <w:t xml:space="preserve">Epstein NE. A perspective on wrong level, wrong side, and wrong site spine surgery.</w:t>
      </w:r>
      <w:r>
        <w:t xml:space="preserve"> </w:t>
      </w:r>
      <w:r>
        <w:rPr>
          <w:i/>
          <w:iCs/>
        </w:rPr>
        <w:t xml:space="preserve">Surg Neurol Int.</w:t>
      </w:r>
      <w:r>
        <w:t xml:space="preserve"> </w:t>
      </w:r>
      <w:r>
        <w:t xml:space="preserve">2021;12:286. doi:10.25259/SNI_402_2021</w:t>
      </w:r>
    </w:p>
    <w:p>
      <w:pPr>
        <w:pStyle w:val="Compact"/>
        <w:numPr>
          <w:ilvl w:val="0"/>
          <w:numId w:val="1006"/>
        </w:numPr>
      </w:pPr>
      <w:r>
        <w:t xml:space="preserve">Schwing G, et al. CTSpinoPelvic1K: spine, pelvis, ribs and femora in one coordinate frame,</w:t>
      </w:r>
      <w:r>
        <w:t xml:space="preserve"> </w:t>
      </w:r>
      <w:r>
        <w:t xml:space="preserve">annotated for lumbosacral transitional anatomy. Zenodo. doi:10.5281/zenodo.22139642</w:t>
      </w:r>
      <w:r>
        <w:t xml:space="preserve"> </w:t>
      </w:r>
      <w:r>
        <w:t xml:space="preserve">(v7 at doi:10.5281/zenodo.22242745). Dataset descriptor in preparation.</w:t>
      </w:r>
    </w:p>
    <w:p>
      <w:pPr>
        <w:pStyle w:val="Compact"/>
        <w:numPr>
          <w:ilvl w:val="0"/>
          <w:numId w:val="1006"/>
        </w:numPr>
      </w:pPr>
      <w:r>
        <w:t xml:space="preserve">Abedeen I, Rahman MA, Prottyasha FZ, et al. FracAtlas: a dataset for fracture</w:t>
      </w:r>
      <w:r>
        <w:t xml:space="preserve"> </w:t>
      </w:r>
      <w:r>
        <w:t xml:space="preserve">classification, localization and segmentation of musculoskeletal radiographs.</w:t>
      </w:r>
      <w:r>
        <w:t xml:space="preserve"> </w:t>
      </w:r>
      <w:r>
        <w:rPr>
          <w:i/>
          <w:iCs/>
        </w:rPr>
        <w:t xml:space="preserve">Sci Data.</w:t>
      </w:r>
      <w:r>
        <w:t xml:space="preserve"> </w:t>
      </w:r>
      <w:r>
        <w:t xml:space="preserve">2023;10:521. doi:10.1038/s41597-023-02432-4</w:t>
      </w:r>
    </w:p>
    <w:p>
      <w:pPr>
        <w:pStyle w:val="Compact"/>
        <w:numPr>
          <w:ilvl w:val="0"/>
          <w:numId w:val="1006"/>
        </w:numPr>
      </w:pPr>
      <w:r>
        <w:t xml:space="preserve">Glaser D, AlMekkawi AK, Caruso JP, et al. Deep learning for automated spinopelvic</w:t>
      </w:r>
      <w:r>
        <w:t xml:space="preserve"> </w:t>
      </w:r>
      <w:r>
        <w:t xml:space="preserve">parameter measurement from radiographs: a meta-analysis.</w:t>
      </w:r>
      <w:r>
        <w:t xml:space="preserve"> </w:t>
      </w:r>
      <w:r>
        <w:rPr>
          <w:i/>
          <w:iCs/>
        </w:rPr>
        <w:t xml:space="preserve">Artif Intell Surg.</w:t>
      </w:r>
      <w:r>
        <w:t xml:space="preserve"> </w:t>
      </w:r>
      <w:r>
        <w:t xml:space="preserve">2025;5:1–15. doi:10.20517/ais.2024.36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Automated fracture detection and level identification on trauma radiographs</dc:title>
  <dc:creator>Gregory Schwing, MD, PhD — Department of Surgery, Detroit Medical Center / Wayne State University</dc:creator>
  <cp:keywords/>
  <dcterms:created xsi:type="dcterms:W3CDTF">2026-09-04T01:23:22Z</dcterms:created>
  <dcterms:modified xsi:type="dcterms:W3CDTF">2026-09-04T01:23:22Z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Analysis plan under WSU IRB-21-10-4123, Improving Outcome in Orthopaedics Trauma Care (PI: Rahul Vaidya, MD)</vt:lpwstr>
  </property>
</Properties>
</file>