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The reference standard for numbering an atypical spine counts caudally</w:t>
      </w:r>
      <w:r>
        <w:t xml:space="preserve"> </w:t>
      </w:r>
      <w:r>
        <w:t xml:space="preserve">from C2 on whole-spine imaging </w:t>
      </w:r>
      <w:r>
        <w:t xml:space="preserve">. Abdominal CT does not 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which the reference standard establishes</w:t>
      </w:r>
      <w:r>
        <w:t xml:space="preserve"> </w:t>
      </w:r>
      <w:r>
        <w:t xml:space="preserve">by counting caudally from C2 on whole-spine imaging </w:t>
      </w:r>
      <w:r>
        <w:t xml:space="preserve">, unavailable in any</w:t>
      </w:r>
      <w:r>
        <w:t xml:space="preserve"> </w:t>
      </w:r>
      <w:r>
        <w:t xml:space="preserve">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2026-09-06T18:45:35Z</dcterms:created>
  <dcterms:modified xsi:type="dcterms:W3CDTF">2026-09-06T18:45:35Z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reference standard for numbering an atypical spine counts caudally from C2 on whole-spine imaging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