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To:</w:t>
      </w:r>
      <w:r>
        <w:t xml:space="preserve"> </w:t>
      </w:r>
      <w:r>
        <w:t xml:space="preserve">Ashley Schehr; Annika Tekumulla; Margret Khoushi; Ryan Christian; Dane Hubers; Faris Mahjoub; Hassan Saad; Mia Sooch; Sathya Siddapureddy; Michael McLellan; Jerick Kim</w:t>
      </w:r>
      <w:r>
        <w:t xml:space="preserve"> </w:t>
      </w:r>
      <w:r>
        <w:rPr>
          <w:b/>
          <w:bCs/>
        </w:rPr>
        <w:t xml:space="preserve">Cc:</w:t>
      </w:r>
      <w:r>
        <w:t xml:space="preserve"> </w:t>
      </w:r>
      <w:r>
        <w:t xml:space="preserve">Andreea Geamanu</w:t>
      </w:r>
      <w:r>
        <w:t xml:space="preserve"> </w:t>
      </w:r>
      <w:r>
        <w:rPr>
          <w:b/>
          <w:bCs/>
        </w:rPr>
        <w:t xml:space="preserve">Subject:</w:t>
      </w:r>
      <w:r>
        <w:t xml:space="preserve"> </w:t>
      </w:r>
      <w:r>
        <w:t xml:space="preserve">Next project — DMC trauma radiographs, and three things I need from you this week</w:t>
      </w:r>
    </w:p>
    <w:p>
      <w:pPr>
        <w:pStyle w:val="BodyText"/>
      </w:pPr>
      <w:r>
        <w:t xml:space="preserve">Hi all,</w:t>
      </w:r>
    </w:p>
    <w:p>
      <w:pPr>
        <w:pStyle w:val="BodyText"/>
      </w:pPr>
      <w:r>
        <w:t xml:space="preserve">You’ve collectively logged 544 case reviews on CTSpinoPelvic1K — ribs, spine, and the class fixes — and the dataset is published on Zenodo with the paper in submission. That work is what makes the next step possible, so thank you.</w:t>
      </w:r>
    </w:p>
    <w:p>
      <w:pPr>
        <w:pStyle w:val="BodyText"/>
      </w:pPr>
      <w:r>
        <w:rPr>
          <w:b/>
          <w:bCs/>
        </w:rPr>
        <w:t xml:space="preserve">What’s next.</w:t>
      </w:r>
      <w:r>
        <w:t xml:space="preserve"> </w:t>
      </w:r>
      <w:r>
        <w:t xml:space="preserve">I’ve been added to Dr. Vaidya’s orthopaedic trauma IRB at DMC, which gives us access to the trauma registry and its imaging. The project is to train a model that reads a trauma spine radiograph and reports whether there’s a fracture, which vertebra it’s in, and whether it’s displaced — then check it against the CT and the radiology report. Same kind of labeling you’ve been doing, on radiographs instead of CT, on real DMC patients instead of public data. The proposal is attached if you want the long version.</w:t>
      </w:r>
    </w:p>
    <w:p>
      <w:pPr>
        <w:pStyle w:val="BodyText"/>
      </w:pPr>
      <w:r>
        <w:rPr>
          <w:b/>
          <w:bCs/>
        </w:rPr>
        <w:t xml:space="preserve">What that changes.</w:t>
      </w:r>
      <w:r>
        <w:t xml:space="preserve"> </w:t>
      </w:r>
      <w:r>
        <w:t xml:space="preserve">These are patient images, not public ones. Two rules, no exceptions:</w:t>
      </w:r>
    </w:p>
    <w:p>
      <w:pPr>
        <w:pStyle w:val="Compact"/>
        <w:numPr>
          <w:ilvl w:val="0"/>
          <w:numId w:val="1001"/>
        </w:numPr>
      </w:pPr>
      <w:r>
        <w:t xml:space="preserve">DMC images live only on Wayne State’s research cluster. Nothing gets downloaded to a laptop, a phone, Google Drive, or Colab. We’ll set up ITK-SNAP or 3D Slicer on WSU machines before anything starts; the Colab server we used for CTSP1K can’t be used for this.</w:t>
      </w:r>
    </w:p>
    <w:p>
      <w:pPr>
        <w:pStyle w:val="Compact"/>
        <w:numPr>
          <w:ilvl w:val="0"/>
          <w:numId w:val="1001"/>
        </w:numPr>
      </w:pPr>
      <w:r>
        <w:t xml:space="preserve">You have to be on the IRB before you can see a single image.</w:t>
      </w:r>
    </w:p>
    <w:p>
      <w:pPr>
        <w:pStyle w:val="FirstParagraph"/>
      </w:pPr>
      <w:r>
        <w:rPr>
          <w:b/>
          <w:bCs/>
        </w:rPr>
        <w:t xml:space="preserve">Three things I need from each of you by Friday, September 12</w:t>
      </w:r>
      <w:r>
        <w:t xml:space="preserve">, so the amendment adding you can go in:</w:t>
      </w:r>
    </w:p>
    <w:p>
      <w:pPr>
        <w:pStyle w:val="Compact"/>
        <w:numPr>
          <w:ilvl w:val="0"/>
          <w:numId w:val="1002"/>
        </w:numPr>
      </w:pPr>
      <w:r>
        <w:rPr>
          <w:b/>
          <w:bCs/>
        </w:rPr>
        <w:t xml:space="preserve">CITI training</w:t>
      </w:r>
      <w:r>
        <w:t xml:space="preserve"> </w:t>
      </w:r>
      <w:r>
        <w:t xml:space="preserve">— three courses, all through the WSU CITI portal:</w:t>
      </w:r>
    </w:p>
    <w:p>
      <w:pPr>
        <w:pStyle w:val="Compact"/>
        <w:numPr>
          <w:ilvl w:val="1"/>
          <w:numId w:val="1003"/>
        </w:numPr>
      </w:pPr>
      <w:r>
        <w:t xml:space="preserve">Biomedical Investigators</w:t>
      </w:r>
    </w:p>
    <w:p>
      <w:pPr>
        <w:pStyle w:val="Compact"/>
        <w:numPr>
          <w:ilvl w:val="1"/>
          <w:numId w:val="1003"/>
        </w:numPr>
      </w:pPr>
      <w:r>
        <w:t xml:space="preserve">Health Information Privacy and Security (HIPS) for Students and Instructors</w:t>
      </w:r>
    </w:p>
    <w:p>
      <w:pPr>
        <w:pStyle w:val="Compact"/>
        <w:numPr>
          <w:ilvl w:val="1"/>
          <w:numId w:val="1003"/>
        </w:numPr>
      </w:pPr>
      <w:r>
        <w:t xml:space="preserve">Biomedical Responsible Conduct of Research</w:t>
      </w:r>
      <w:r>
        <w:t xml:space="preserve"> </w:t>
      </w:r>
      <w:r>
        <w:t xml:space="preserve">If you’ve done any of these in the last three years, you’re set for that one — check your CITI completion report.</w:t>
      </w:r>
    </w:p>
    <w:p>
      <w:pPr>
        <w:pStyle w:val="Compact"/>
        <w:numPr>
          <w:ilvl w:val="0"/>
          <w:numId w:val="1002"/>
        </w:numPr>
      </w:pPr>
      <w:r>
        <w:rPr>
          <w:b/>
          <w:bCs/>
        </w:rPr>
        <w:t xml:space="preserve">Sign the Obligations page</w:t>
      </w:r>
      <w:r>
        <w:t xml:space="preserve"> </w:t>
      </w:r>
      <w:r>
        <w:t xml:space="preserve">on the protocol in eProtocol: https://ksprodweb.ovpr.wayne.edu/ — protocol IRB-21-10-4123,</w:t>
      </w:r>
      <w:r>
        <w:t xml:space="preserve"> </w:t>
      </w:r>
      <w:r>
        <w:t xml:space="preserve">“Improving Outcome in Orthopaedics Trauma Care.”</w:t>
      </w:r>
      <w:r>
        <w:t xml:space="preserve"> </w:t>
      </w:r>
      <w:r>
        <w:t xml:space="preserve">Andreea will add you; once you’re on it, log in with your AccessID and sign.</w:t>
      </w:r>
    </w:p>
    <w:p>
      <w:pPr>
        <w:pStyle w:val="Compact"/>
        <w:numPr>
          <w:ilvl w:val="0"/>
          <w:numId w:val="1002"/>
        </w:numPr>
      </w:pPr>
      <w:r>
        <w:rPr>
          <w:b/>
          <w:bCs/>
        </w:rPr>
        <w:t xml:space="preserve">Complete the COI disclosure</w:t>
      </w:r>
      <w:r>
        <w:t xml:space="preserve"> </w:t>
      </w:r>
      <w:r>
        <w:t xml:space="preserve">on the same page. For most of you this is</w:t>
      </w:r>
      <w:r>
        <w:t xml:space="preserve"> </w:t>
      </w:r>
      <w:r>
        <w:t xml:space="preserve">“nothing to disclose.”</w:t>
      </w:r>
    </w:p>
    <w:p>
      <w:pPr>
        <w:pStyle w:val="FirstParagraph"/>
      </w:pPr>
      <w:r>
        <w:t xml:space="preserve">Reply to this email when all three are done. One person incomplete holds up the whole amendment, so if you can’t get to it by the 12th, tell me and I’ll add you on the next one — no problem either way.</w:t>
      </w:r>
    </w:p>
    <w:p>
      <w:pPr>
        <w:pStyle w:val="BodyText"/>
      </w:pPr>
      <w:r>
        <w:t xml:space="preserve">Ashley is leading the student side of this. Questions about the work go to her or me; questions about eProtocol go to Andreea.</w:t>
      </w:r>
    </w:p>
    <w:p>
      <w:pPr>
        <w:pStyle w:val="BodyText"/>
      </w:pPr>
      <w:r>
        <w:t xml:space="preserve">Greg</w:t>
      </w:r>
    </w:p>
    <w:p>
      <w:pPr>
        <w:pStyle w:val="BodyText"/>
      </w:pPr>
      <w:r>
        <w:rPr>
          <w:i/>
          <w:iCs/>
        </w:rPr>
        <w:t xml:space="preserve">Gregory Schwing, MD, PhD</w:t>
      </w:r>
      <w:r>
        <w:t xml:space="preserve"> </w:t>
      </w:r>
      <w:r>
        <w:rPr>
          <w:i/>
          <w:iCs/>
        </w:rPr>
        <w:t xml:space="preserve">PGY-1 Resident, Surgery — Detroit Medical Center</w:t>
      </w:r>
      <w:r>
        <w:t xml:space="preserve"> </w:t>
      </w:r>
      <w:r>
        <w:rPr>
          <w:i/>
          <w:iCs/>
        </w:rPr>
        <w:t xml:space="preserve">Research Director, OpenSpineConsortium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2026-09-04T01:31:01Z</dcterms:created>
  <dcterms:modified xsi:type="dcterms:W3CDTF">2026-09-04T01:31:01Z</dcterms:modified>
</cp:coreProperties>
</file>

<file path=docProps/custom.xml><?xml version="1.0" encoding="utf-8"?>
<Properties xmlns="http://schemas.openxmlformats.org/officeDocument/2006/custom-properties" xmlns:vt="http://schemas.openxmlformats.org/officeDocument/2006/docPropsVTypes"/>
</file>