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Amendment to IRB-21-10-4123 — eProtocol text and checklist</w:t>
      </w:r>
    </w:p>
    <w:p>
      <w:pPr>
        <w:pStyle w:val="Subtitle"/>
      </w:pPr>
      <w:r>
        <w:t xml:space="preserve">Improving Outcome in Orthopaedics Trauma Care (PI: Rahul Vaidya, MD)</w:t>
      </w:r>
    </w:p>
    <w:p>
      <w:pPr>
        <w:pStyle w:val="Author"/>
      </w:pPr>
      <w:r>
        <w:t xml:space="preserve">Prepared by Gregory Schwing, MD, PhD, for Andreea Geamanu</w:t>
      </w:r>
    </w:p>
    <w:p>
      <w:pPr>
        <w:pStyle w:val="Date"/>
      </w:pPr>
      <w:r>
        <w:t xml:space="preserve">September 2026</w:t>
      </w:r>
    </w:p>
    <w:bookmarkStart w:id="9" w:name="Xa7ebe84ee53432a4db14deb57e40a4686375cd5"/>
    <w:p>
      <w:pPr>
        <w:pStyle w:val="Heading1"/>
      </w:pPr>
      <w:r>
        <w:t xml:space="preserve">How this protocol has amended before, and what that means for this one</w:t>
      </w:r>
    </w:p>
    <w:p>
      <w:pPr>
        <w:pStyle w:val="FirstParagraph"/>
      </w:pPr>
      <w:r>
        <w:t xml:space="preserve">The event history shows 46 approved amendments since June 2022, roughly one a month, almost</w:t>
      </w:r>
      <w:r>
        <w:t xml:space="preserve"> </w:t>
      </w:r>
      <w:r>
        <w:t xml:space="preserve">all turning around in one to two weeks. The pending Amendment 47 (created 9/2/2026) is</w:t>
      </w:r>
      <w:r>
        <w:t xml:space="preserve"> </w:t>
      </w:r>
      <w:r>
        <w:t xml:space="preserve">already set up the way every prior one appears to have been:</w:t>
      </w:r>
      <w:r>
        <w:t xml:space="preserve"> </w:t>
      </w:r>
      <w:r>
        <w:rPr>
          <w:b/>
          <w:bCs/>
        </w:rPr>
        <w:t xml:space="preserve">Expedited</w:t>
      </w:r>
      <w:r>
        <w:t xml:space="preserve">, originating from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Principal Investigator</w:t>
      </w:r>
      <w:r>
        <w:t xml:space="preserve">, study</w:t>
      </w:r>
      <w:r>
        <w:t xml:space="preserve"> </w:t>
      </w:r>
      <w:r>
        <w:rPr>
          <w:b/>
          <w:bCs/>
        </w:rPr>
        <w:t xml:space="preserve">open to accrual</w:t>
      </w:r>
      <w:r>
        <w:t xml:space="preserve">, with</w:t>
      </w:r>
      <w:r>
        <w:t xml:space="preserve"> </w:t>
      </w:r>
      <w:r>
        <w:rPr>
          <w:b/>
          <w:bCs/>
        </w:rPr>
        <w:t xml:space="preserve">Key Personnel Addition</w:t>
      </w:r>
      <w:r>
        <w:t xml:space="preserve"> </w:t>
      </w:r>
      <w:r>
        <w:t xml:space="preserve">checked. That is the shape to keep. Nothing below changes the study design, adds risk, or</w:t>
      </w:r>
      <w:r>
        <w:t xml:space="preserve"> </w:t>
      </w:r>
      <w:r>
        <w:t xml:space="preserve">touches consent, so it stays expedited.</w:t>
      </w:r>
    </w:p>
    <w:p>
      <w:pPr>
        <w:pStyle w:val="BodyText"/>
      </w:pPr>
      <w:r>
        <w:t xml:space="preserve">The 2022 DMC Clinical Research Office review is the other thing to draft against. It came</w:t>
      </w:r>
      <w:r>
        <w:t xml:space="preserve"> </w:t>
      </w:r>
      <w:r>
        <w:t xml:space="preserve">back with revisions on exactly the points this amendment touches: the record count had to</w:t>
      </w:r>
      <w:r>
        <w:t xml:space="preserve"> </w:t>
      </w:r>
      <w:r>
        <w:t xml:space="preserve">match across every document, the confidentiality answers had to name the secure server</w:t>
      </w:r>
      <w:r>
        <w:t xml:space="preserve"> </w:t>
      </w:r>
      <w:r>
        <w:t xml:space="preserve">(DMC Citrix) rather than</w:t>
      </w:r>
      <w:r>
        <w:t xml:space="preserve"> </w:t>
      </w:r>
      <w:r>
        <w:t xml:space="preserve">“devices,”</w:t>
      </w:r>
      <w:r>
        <w:t xml:space="preserve"> </w:t>
      </w:r>
      <w:r>
        <w:t xml:space="preserve">the HIPAA disclosure question had to be answered, and</w:t>
      </w:r>
      <w:r>
        <w:t xml:space="preserve"> </w:t>
      </w:r>
      <w:r>
        <w:t xml:space="preserve">the DMC Application’s service-area list had to match what the team would actually use.</w:t>
      </w:r>
      <w:r>
        <w:t xml:space="preserve"> </w:t>
      </w:r>
      <w:r>
        <w:t xml:space="preserve">Everything below is written so it passes that review the first time.</w:t>
      </w:r>
    </w:p>
    <w:bookmarkEnd w:id="9"/>
    <w:bookmarkStart w:id="10" w:name="amendment-form-what-to-select"/>
    <w:p>
      <w:pPr>
        <w:pStyle w:val="Heading1"/>
      </w:pPr>
      <w:r>
        <w:t xml:space="preserve">Amendment form — what to select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type</w:t>
            </w:r>
          </w:p>
        </w:tc>
        <w:tc>
          <w:tcPr/>
          <w:p>
            <w:pPr>
              <w:pStyle w:val="Compact"/>
            </w:pPr>
            <w:r>
              <w:t xml:space="preserve">Expedited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Originates from</w:t>
            </w:r>
          </w:p>
        </w:tc>
        <w:tc>
          <w:tcPr/>
          <w:p>
            <w:pPr>
              <w:pStyle w:val="Compact"/>
            </w:pPr>
            <w:r>
              <w:t xml:space="preserve">Principal Investigator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Accrual status</w:t>
            </w:r>
          </w:p>
        </w:tc>
        <w:tc>
          <w:tcPr/>
          <w:p>
            <w:pPr>
              <w:pStyle w:val="Compact"/>
            </w:pPr>
            <w:r>
              <w:t xml:space="preserve">Currently open to accrual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Personnel Modifications</w:t>
            </w:r>
          </w:p>
        </w:tc>
        <w:tc>
          <w:tcPr/>
          <w:p>
            <w:pPr>
              <w:pStyle w:val="Compact"/>
            </w:pPr>
            <w:r>
              <w:t xml:space="preserve">Key Personnel Addition (see list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in PI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0"/>
    <w:bookmarkStart w:id="11" w:name="Xdf2a1ca4262aeaba52c6a23e5cb4b840f294b14"/>
    <w:p>
      <w:pPr>
        <w:pStyle w:val="Heading1"/>
      </w:pPr>
      <w:r>
        <w:t xml:space="preserve">Amendment summary (lay terms) — paste into</w:t>
      </w:r>
      <w:r>
        <w:t xml:space="preserve"> </w:t>
      </w:r>
      <w:r>
        <w:t xml:space="preserve">“Protocol Form Modifications / Amendment Summary”</w:t>
      </w:r>
    </w:p>
    <w:p>
      <w:pPr>
        <w:pStyle w:val="BlockText"/>
      </w:pPr>
      <w:r>
        <w:t xml:space="preserve">This amendment adds study personnel and extends the existing retrospective chart review</w:t>
      </w:r>
      <w:r>
        <w:t xml:space="preserve"> </w:t>
      </w:r>
      <w:r>
        <w:t xml:space="preserve">to include the imaging already obtained during care. Specifically: (1) spine radiographs</w:t>
      </w:r>
      <w:r>
        <w:t xml:space="preserve"> </w:t>
      </w:r>
      <w:r>
        <w:t xml:space="preserve">and spine CT scans, with their radiology reports, will be retrieved from DMC Radiology/PACS</w:t>
      </w:r>
      <w:r>
        <w:t xml:space="preserve"> </w:t>
      </w:r>
      <w:r>
        <w:t xml:space="preserve">for patients already identified from the trauma registry; (2) those images will be</w:t>
      </w:r>
      <w:r>
        <w:t xml:space="preserve"> </w:t>
      </w:r>
      <w:r>
        <w:t xml:space="preserve">de-identified within DMC — names, medical record numbers, dates, and all DICOM header</w:t>
      </w:r>
      <w:r>
        <w:t xml:space="preserve"> </w:t>
      </w:r>
      <w:r>
        <w:t xml:space="preserve">identifiers removed, and any text burned into the image checked and removed — before being</w:t>
      </w:r>
      <w:r>
        <w:t xml:space="preserve"> </w:t>
      </w:r>
      <w:r>
        <w:t xml:space="preserve">stored and analyzed on Wayne State University’s secure research computing cluster; (3) the</w:t>
      </w:r>
      <w:r>
        <w:t xml:space="preserve"> </w:t>
      </w:r>
      <w:r>
        <w:t xml:space="preserve">de-identified images will be used to develop and evaluate computer methods (machine</w:t>
      </w:r>
      <w:r>
        <w:t xml:space="preserve"> </w:t>
      </w:r>
      <w:r>
        <w:t xml:space="preserve">learning models) for detecting fractures and identifying the vertebral level on trauma</w:t>
      </w:r>
      <w:r>
        <w:t xml:space="preserve"> </w:t>
      </w:r>
      <w:r>
        <w:t xml:space="preserve">radiographs, with results compared against the CT and the radiology report; and (4) the</w:t>
      </w:r>
      <w:r>
        <w:t xml:space="preserve"> </w:t>
      </w:r>
      <w:r>
        <w:t xml:space="preserve">approved number of records is increased from 2,000 to [N] to accommodate the imaging</w:t>
      </w:r>
      <w:r>
        <w:t xml:space="preserve"> </w:t>
      </w:r>
      <w:r>
        <w:t xml:space="preserve">cohort. The master list linking study IDs to identifiers remains on DMC Citrix, separate</w:t>
      </w:r>
      <w:r>
        <w:t xml:space="preserve"> </w:t>
      </w:r>
      <w:r>
        <w:t xml:space="preserve">from study data, as currently approved. No results are returned to the medical record or to</w:t>
      </w:r>
      <w:r>
        <w:t xml:space="preserve"> </w:t>
      </w:r>
      <w:r>
        <w:t xml:space="preserve">treating clinicians; the work is retrospective and research-only. Nothing about consent,</w:t>
      </w:r>
      <w:r>
        <w:t xml:space="preserve"> </w:t>
      </w:r>
      <w:r>
        <w:t xml:space="preserve">risk, or the participant population changes.</w:t>
      </w:r>
    </w:p>
    <w:bookmarkEnd w:id="11"/>
    <w:bookmarkStart w:id="12" w:name="X5e24e2f37cd9162723d7c31eb98cfd02dcaf9cb"/>
    <w:p>
      <w:pPr>
        <w:pStyle w:val="Heading1"/>
      </w:pPr>
      <w:r>
        <w:t xml:space="preserve">eProtocol sections to update, with replacement text</w:t>
      </w:r>
    </w:p>
    <w:p>
      <w:pPr>
        <w:pStyle w:val="FirstParagraph"/>
      </w:pPr>
      <w:r>
        <w:rPr>
          <w:b/>
          <w:bCs/>
        </w:rPr>
        <w:t xml:space="preserve">Personnel Information → Other Investigators (add).</w:t>
      </w:r>
      <w:r>
        <w:t xml:space="preserve"> </w:t>
      </w:r>
      <w:r>
        <w:t xml:space="preserve">Role for each: Student/Resident/</w:t>
      </w:r>
      <w:r>
        <w:t xml:space="preserve"> </w:t>
      </w:r>
      <w:r>
        <w:t xml:space="preserve">Fellow. Each must have current CITI (Biomedical Investigators; Health Information Privacy</w:t>
      </w:r>
      <w:r>
        <w:t xml:space="preserve"> </w:t>
      </w:r>
      <w:r>
        <w:t xml:space="preserve">and Security for Students and Instructors; Biomedical Responsible Conduct of Research) and</w:t>
      </w:r>
      <w:r>
        <w:t xml:space="preserve"> </w:t>
      </w:r>
      <w:r>
        <w:t xml:space="preserve">must sign the Obligations page and complete COI before submission.</w:t>
      </w:r>
    </w:p>
    <w:p>
      <w:pPr>
        <w:pStyle w:val="Compact"/>
        <w:numPr>
          <w:ilvl w:val="0"/>
          <w:numId w:val="1001"/>
        </w:numPr>
      </w:pPr>
      <w:r>
        <w:t xml:space="preserve">Ashley Schehr — student lead</w:t>
      </w:r>
    </w:p>
    <w:p>
      <w:pPr>
        <w:pStyle w:val="Compact"/>
        <w:numPr>
          <w:ilvl w:val="0"/>
          <w:numId w:val="1001"/>
        </w:numPr>
      </w:pPr>
      <w:r>
        <w:t xml:space="preserve">Annika Tekumulla</w:t>
      </w:r>
    </w:p>
    <w:p>
      <w:pPr>
        <w:pStyle w:val="Compact"/>
        <w:numPr>
          <w:ilvl w:val="0"/>
          <w:numId w:val="1001"/>
        </w:numPr>
      </w:pPr>
      <w:r>
        <w:t xml:space="preserve">Margret Khoushi</w:t>
      </w:r>
    </w:p>
    <w:p>
      <w:pPr>
        <w:pStyle w:val="Compact"/>
        <w:numPr>
          <w:ilvl w:val="0"/>
          <w:numId w:val="1001"/>
        </w:numPr>
      </w:pPr>
      <w:r>
        <w:t xml:space="preserve">Ryan Christian</w:t>
      </w:r>
    </w:p>
    <w:p>
      <w:pPr>
        <w:pStyle w:val="Compact"/>
        <w:numPr>
          <w:ilvl w:val="0"/>
          <w:numId w:val="1001"/>
        </w:numPr>
      </w:pPr>
      <w:r>
        <w:t xml:space="preserve">Dane Hubers</w:t>
      </w:r>
    </w:p>
    <w:p>
      <w:pPr>
        <w:pStyle w:val="Compact"/>
        <w:numPr>
          <w:ilvl w:val="0"/>
          <w:numId w:val="1001"/>
        </w:numPr>
      </w:pPr>
      <w:r>
        <w:t xml:space="preserve">Faris Mahjoub</w:t>
      </w:r>
    </w:p>
    <w:p>
      <w:pPr>
        <w:pStyle w:val="Compact"/>
        <w:numPr>
          <w:ilvl w:val="0"/>
          <w:numId w:val="1001"/>
        </w:numPr>
      </w:pPr>
      <w:r>
        <w:t xml:space="preserve">Hassan Saad</w:t>
      </w:r>
    </w:p>
    <w:p>
      <w:pPr>
        <w:pStyle w:val="Compact"/>
        <w:numPr>
          <w:ilvl w:val="0"/>
          <w:numId w:val="1001"/>
        </w:numPr>
      </w:pPr>
      <w:r>
        <w:t xml:space="preserve">Mia Sooch</w:t>
      </w:r>
    </w:p>
    <w:p>
      <w:pPr>
        <w:pStyle w:val="Compact"/>
        <w:numPr>
          <w:ilvl w:val="0"/>
          <w:numId w:val="1001"/>
        </w:numPr>
      </w:pPr>
      <w:r>
        <w:t xml:space="preserve">Sathya Siddapureddy</w:t>
      </w:r>
    </w:p>
    <w:p>
      <w:pPr>
        <w:pStyle w:val="Compact"/>
        <w:numPr>
          <w:ilvl w:val="0"/>
          <w:numId w:val="1001"/>
        </w:numPr>
      </w:pPr>
      <w:r>
        <w:t xml:space="preserve">Michael McLellan</w:t>
      </w:r>
    </w:p>
    <w:p>
      <w:pPr>
        <w:pStyle w:val="Compact"/>
        <w:numPr>
          <w:ilvl w:val="0"/>
          <w:numId w:val="1001"/>
        </w:numPr>
      </w:pPr>
      <w:r>
        <w:t xml:space="preserve">Jerick Kim</w:t>
      </w:r>
    </w:p>
    <w:p>
      <w:pPr>
        <w:pStyle w:val="Compact"/>
        <w:numPr>
          <w:ilvl w:val="0"/>
          <w:numId w:val="1001"/>
        </w:numPr>
      </w:pPr>
      <w:r>
        <w:t xml:space="preserve">Miraziz Ismoilov, MD, and Nizar Alnabahneh, MD (Radiology) —</w:t>
      </w:r>
      <w:r>
        <w:t xml:space="preserve"> </w:t>
      </w:r>
      <w:r>
        <w:rPr>
          <w:i/>
          <w:iCs/>
        </w:rPr>
        <w:t xml:space="preserve">only if they will</w:t>
      </w:r>
      <w:r>
        <w:rPr>
          <w:i/>
          <w:iCs/>
        </w:rPr>
        <w:t xml:space="preserve"> </w:t>
      </w:r>
      <w:r>
        <w:rPr>
          <w:i/>
          <w:iCs/>
        </w:rPr>
        <w:t xml:space="preserve">adjudicate DMC images; omit if their role stays on public data.</w:t>
      </w:r>
    </w:p>
    <w:p>
      <w:pPr>
        <w:pStyle w:val="FirstParagraph"/>
      </w:pPr>
      <w:r>
        <w:rPr>
          <w:b/>
          <w:bCs/>
        </w:rPr>
        <w:t xml:space="preserve">Summary &amp; Purpose → Purpose (append).</w:t>
      </w:r>
    </w:p>
    <w:p>
      <w:pPr>
        <w:pStyle w:val="BlockText"/>
      </w:pPr>
      <w:r>
        <w:t xml:space="preserve">A further aim is to determine whether automated image-analysis methods can detect</w:t>
      </w:r>
      <w:r>
        <w:t xml:space="preserve"> </w:t>
      </w:r>
      <w:r>
        <w:t xml:space="preserve">fractures and identify vertebral levels on trauma spine radiographs from this population,</w:t>
      </w:r>
      <w:r>
        <w:t xml:space="preserve"> </w:t>
      </w:r>
      <w:r>
        <w:t xml:space="preserve">using the CT and radiology reports already obtained during care as the reference standard.</w:t>
      </w:r>
    </w:p>
    <w:p>
      <w:pPr>
        <w:pStyle w:val="FirstParagraph"/>
      </w:pPr>
      <w:r>
        <w:rPr>
          <w:b/>
          <w:bCs/>
        </w:rPr>
        <w:t xml:space="preserve">Background, Rationale, Data Analysis and Procedures → Section C, Data Collection (revise).</w:t>
      </w:r>
    </w:p>
    <w:p>
      <w:pPr>
        <w:pStyle w:val="BlockText"/>
      </w:pPr>
      <w:r>
        <w:t xml:space="preserve">Data will be collected from the DMC electronic medical record (Citrix) using the data</w:t>
      </w:r>
      <w:r>
        <w:t xml:space="preserve"> </w:t>
      </w:r>
      <w:r>
        <w:t xml:space="preserve">collection sheet, and from DMC Radiology/PACS: thoracolumbar and lumbar spine radiographs</w:t>
      </w:r>
      <w:r>
        <w:t xml:space="preserve"> </w:t>
      </w:r>
      <w:r>
        <w:t xml:space="preserve">(AP and lateral), spine CT, and the associated radiology reports, for patients already</w:t>
      </w:r>
      <w:r>
        <w:t xml:space="preserve"> </w:t>
      </w:r>
      <w:r>
        <w:t xml:space="preserve">identified from the trauma registry. Images are de-identified within the DMC environment</w:t>
      </w:r>
      <w:r>
        <w:t xml:space="preserve"> </w:t>
      </w:r>
      <w:r>
        <w:t xml:space="preserve">before any analysis.</w:t>
      </w:r>
    </w:p>
    <w:p>
      <w:pPr>
        <w:pStyle w:val="FirstParagraph"/>
      </w:pPr>
      <w:r>
        <w:rPr>
          <w:b/>
          <w:bCs/>
        </w:rPr>
        <w:t xml:space="preserve">Background, Rationale, Data Analysis and Procedures → Section A(b), statistical methods</w:t>
      </w:r>
      <w:r>
        <w:rPr>
          <w:b/>
          <w:bCs/>
        </w:rPr>
        <w:t xml:space="preserve"> </w:t>
      </w:r>
      <w:r>
        <w:rPr>
          <w:b/>
          <w:bCs/>
        </w:rPr>
        <w:t xml:space="preserve">(replace</w:t>
      </w:r>
      <w:r>
        <w:rPr>
          <w:b/>
          <w:bCs/>
        </w:rPr>
        <w:t xml:space="preserve"> </w:t>
      </w:r>
      <w:r>
        <w:rPr>
          <w:b/>
          <w:bCs/>
        </w:rPr>
        <w:t xml:space="preserve">“N/A”</w:t>
      </w:r>
      <w:r>
        <w:rPr>
          <w:b/>
          <w:bCs/>
        </w:rPr>
        <w:t xml:space="preserve">).</w:t>
      </w:r>
    </w:p>
    <w:p>
      <w:pPr>
        <w:pStyle w:val="BlockText"/>
      </w:pPr>
      <w:r>
        <w:t xml:space="preserve">Descriptive statistics for the cohort. For the imaging analysis: sensitivity and</w:t>
      </w:r>
      <w:r>
        <w:t xml:space="preserve"> </w:t>
      </w:r>
      <w:r>
        <w:t xml:space="preserve">specificity of automated fracture detection against the radiology report and CT;</w:t>
      </w:r>
      <w:r>
        <w:t xml:space="preserve"> </w:t>
      </w:r>
      <w:r>
        <w:t xml:space="preserve">agreement of automated vertebral-level identification with CT, reported separately for</w:t>
      </w:r>
      <w:r>
        <w:t xml:space="preserve"> </w:t>
      </w:r>
      <w:r>
        <w:t xml:space="preserve">patients with and without transitional lumbosacral anatomy; and agreement of automated</w:t>
      </w:r>
      <w:r>
        <w:t xml:space="preserve"> </w:t>
      </w:r>
      <w:r>
        <w:t xml:space="preserve">spinopelvic measurements with manual measurement.</w:t>
      </w:r>
    </w:p>
    <w:p>
      <w:pPr>
        <w:pStyle w:val="FirstParagraph"/>
      </w:pPr>
      <w:r>
        <w:rPr>
          <w:b/>
          <w:bCs/>
        </w:rPr>
        <w:t xml:space="preserve">Participant Population → number of records (revise).</w:t>
      </w:r>
      <w:r>
        <w:t xml:space="preserve"> </w:t>
      </w:r>
      <w:r>
        <w:t xml:space="preserve">2,000 → [N].</w:t>
      </w:r>
      <w:r>
        <w:t xml:space="preserve"> </w:t>
      </w:r>
      <w:r>
        <w:rPr>
          <w:i/>
          <w:iCs/>
        </w:rPr>
        <w:t xml:space="preserve">Enter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number on the DMC application and in the protocol document; the 2022 DMC review flagged a</w:t>
      </w:r>
      <w:r>
        <w:rPr>
          <w:i/>
          <w:iCs/>
        </w:rPr>
        <w:t xml:space="preserve"> </w:t>
      </w:r>
      <w:r>
        <w:rPr>
          <w:i/>
          <w:iCs/>
        </w:rPr>
        <w:t xml:space="preserve">mismatch.</w:t>
      </w:r>
    </w:p>
    <w:p>
      <w:pPr>
        <w:pStyle w:val="BodyText"/>
      </w:pPr>
      <w:r>
        <w:rPr>
          <w:b/>
          <w:bCs/>
        </w:rPr>
        <w:t xml:space="preserve">Procedures to Maintain Confidentiality → (c), (e), (f), (i), (j) (revise).</w:t>
      </w:r>
    </w:p>
    <w:p>
      <w:pPr>
        <w:pStyle w:val="BlockText"/>
        <w:numPr>
          <w:ilvl w:val="0"/>
          <w:numId w:val="1002"/>
        </w:numPr>
      </w:pPr>
      <w:r>
        <w:t xml:space="preserve">Chart data will be coded and stored on DMC Citrix. Imaging will be de-identified within</w:t>
      </w:r>
      <w:r>
        <w:t xml:space="preserve"> </w:t>
      </w:r>
      <w:r>
        <w:t xml:space="preserve">DMC — all DICOM header identifiers removed and burned-in text checked and removed — and the</w:t>
      </w:r>
      <w:r>
        <w:t xml:space="preserve"> </w:t>
      </w:r>
      <w:r>
        <w:t xml:space="preserve">de-identified images stored and analyzed on the Wayne State University High Performance</w:t>
      </w:r>
      <w:r>
        <w:t xml:space="preserve"> </w:t>
      </w:r>
      <w:r>
        <w:t xml:space="preserve">Computing cluster, an institutionally managed secure research computing environment with</w:t>
      </w:r>
      <w:r>
        <w:t xml:space="preserve"> </w:t>
      </w:r>
      <w:r>
        <w:t xml:space="preserve">access limited to named study personnel. No imaging is stored on personal devices,</w:t>
      </w:r>
      <w:r>
        <w:t xml:space="preserve"> </w:t>
      </w:r>
      <w:r>
        <w:t xml:space="preserve">personal cloud accounts, or third-party services.</w:t>
      </w:r>
    </w:p>
    <w:p>
      <w:pPr>
        <w:pStyle w:val="BlockText"/>
        <w:numPr>
          <w:ilvl w:val="0"/>
          <w:numId w:val="1002"/>
        </w:numPr>
      </w:pPr>
      <w:r>
        <w:t xml:space="preserve">PI and research study team.</w:t>
      </w:r>
    </w:p>
    <w:p>
      <w:pPr>
        <w:pStyle w:val="BlockText"/>
        <w:numPr>
          <w:ilvl w:val="0"/>
          <w:numId w:val="1002"/>
        </w:numPr>
      </w:pPr>
      <w:r>
        <w:t xml:space="preserve">DMC electronic medical record (Citrix) and DMC Radiology/PACS.</w:t>
      </w:r>
    </w:p>
    <w:p>
      <w:pPr>
        <w:pStyle w:val="BlockText"/>
        <w:numPr>
          <w:ilvl w:val="0"/>
          <w:numId w:val="1002"/>
        </w:numPr>
      </w:pPr>
      <w:r>
        <w:t xml:space="preserve">The master list (key to identifiers) and study data will be stored separately on DMC</w:t>
      </w:r>
      <w:r>
        <w:t xml:space="preserve"> </w:t>
      </w:r>
      <w:r>
        <w:t xml:space="preserve">Citrix. De-identified imaging on the WSU cluster carries study IDs only; the key never</w:t>
      </w:r>
      <w:r>
        <w:t xml:space="preserve"> </w:t>
      </w:r>
      <w:r>
        <w:t xml:space="preserve">leaves DMC.</w:t>
      </w:r>
    </w:p>
    <w:p>
      <w:pPr>
        <w:pStyle w:val="BlockText"/>
        <w:numPr>
          <w:ilvl w:val="0"/>
          <w:numId w:val="1002"/>
        </w:numPr>
      </w:pPr>
      <w:r>
        <w:t xml:space="preserve">Data will be kept until all publishable articles/abstracts have been accepted and</w:t>
      </w:r>
      <w:r>
        <w:t xml:space="preserve"> </w:t>
      </w:r>
      <w:r>
        <w:t xml:space="preserve">published. De-identified imaging on the WSU cluster will be deleted at study closure.</w:t>
      </w:r>
    </w:p>
    <w:p>
      <w:pPr>
        <w:pStyle w:val="FirstParagraph"/>
      </w:pPr>
      <w:r>
        <w:rPr>
          <w:b/>
          <w:bCs/>
        </w:rPr>
        <w:t xml:space="preserve">HIPAA (no change to identifiers used or disclosed).</w:t>
      </w:r>
      <w:r>
        <w:t xml:space="preserve"> </w:t>
      </w:r>
      <w:r>
        <w:t xml:space="preserve">Identifiers used remain: geographic</w:t>
      </w:r>
      <w:r>
        <w:t xml:space="preserve"> </w:t>
      </w:r>
      <w:r>
        <w:t xml:space="preserve">subdivisions, elements of dates, medical record number, other unique identifying number.</w:t>
      </w:r>
      <w:r>
        <w:t xml:space="preserve"> </w:t>
      </w:r>
      <w:r>
        <w:t xml:space="preserve">Disclosed: none. Imaging that leaves DMC is de-identified and carries none of the 18</w:t>
      </w:r>
      <w:r>
        <w:t xml:space="preserve"> </w:t>
      </w:r>
      <w:r>
        <w:t xml:space="preserve">identifiers.</w:t>
      </w:r>
      <w:r>
        <w:t xml:space="preserve"> </w:t>
      </w:r>
      <w:r>
        <w:rPr>
          <w:i/>
          <w:iCs/>
        </w:rPr>
        <w:t xml:space="preserve">Confirm the</w:t>
      </w:r>
      <w:r>
        <w:rPr>
          <w:i/>
          <w:iCs/>
        </w:rPr>
        <w:t xml:space="preserve"> </w:t>
      </w:r>
      <w:r>
        <w:rPr>
          <w:i/>
          <w:iCs/>
        </w:rPr>
        <w:t xml:space="preserve">“Will PHI be disclosed to sponsors”</w:t>
      </w:r>
      <w:r>
        <w:rPr>
          <w:i/>
          <w:iCs/>
        </w:rPr>
        <w:t xml:space="preserve"> </w:t>
      </w:r>
      <w:r>
        <w:rPr>
          <w:i/>
          <w:iCs/>
        </w:rPr>
        <w:t xml:space="preserve">answer is completed — the</w:t>
      </w:r>
      <w:r>
        <w:rPr>
          <w:i/>
          <w:iCs/>
        </w:rPr>
        <w:t xml:space="preserve"> </w:t>
      </w:r>
      <w:r>
        <w:rPr>
          <w:i/>
          <w:iCs/>
        </w:rPr>
        <w:t xml:space="preserve">2022 review flagged it blank.</w:t>
      </w:r>
    </w:p>
    <w:p>
      <w:pPr>
        <w:pStyle w:val="BodyText"/>
      </w:pPr>
      <w:r>
        <w:rPr>
          <w:b/>
          <w:bCs/>
        </w:rPr>
        <w:t xml:space="preserve">Attachments (add, highlighted per amendment instructions).</w:t>
      </w:r>
    </w:p>
    <w:p>
      <w:pPr>
        <w:pStyle w:val="Compact"/>
        <w:numPr>
          <w:ilvl w:val="0"/>
          <w:numId w:val="1003"/>
        </w:numPr>
      </w:pPr>
      <w:r>
        <w:t xml:space="preserve">Revised data collection sheet:</w:t>
      </w:r>
      <w:r>
        <w:t xml:space="preserve"> </w:t>
      </w:r>
      <w:r>
        <w:t xml:space="preserve">“Orthopaedic Trauma Patient Variables”</w:t>
      </w:r>
      <w:r>
        <w:t xml:space="preserve"> </w:t>
      </w:r>
      <w:r>
        <w:t xml:space="preserve">with imaging</w:t>
      </w:r>
      <w:r>
        <w:t xml:space="preserve"> </w:t>
      </w:r>
      <w:r>
        <w:t xml:space="preserve">fields added (study ID, radiograph accession, views present, CT accession, report</w:t>
      </w:r>
      <w:r>
        <w:t xml:space="preserve"> </w:t>
      </w:r>
      <w:r>
        <w:t xml:space="preserve">findings).</w:t>
      </w:r>
    </w:p>
    <w:p>
      <w:pPr>
        <w:pStyle w:val="Compact"/>
        <w:numPr>
          <w:ilvl w:val="0"/>
          <w:numId w:val="1003"/>
        </w:numPr>
      </w:pPr>
      <w:r>
        <w:t xml:space="preserve">Revised protocol document, with the imaging methodology and the named storage</w:t>
      </w:r>
      <w:r>
        <w:t xml:space="preserve"> </w:t>
      </w:r>
      <w:r>
        <w:t xml:space="preserve">environment.</w:t>
      </w:r>
    </w:p>
    <w:p>
      <w:pPr>
        <w:pStyle w:val="Compact"/>
        <w:numPr>
          <w:ilvl w:val="0"/>
          <w:numId w:val="1003"/>
        </w:numPr>
      </w:pPr>
      <w:r>
        <w:t xml:space="preserve">Revised DMC Application: Section 5, re-select</w:t>
      </w:r>
      <w:r>
        <w:t xml:space="preserve"> </w:t>
      </w:r>
      <w:r>
        <w:t xml:space="preserve">“DMC Radiology/Imaging Services”</w:t>
      </w:r>
      <w:r>
        <w:t xml:space="preserve"> </w:t>
      </w:r>
      <w:r>
        <w:t xml:space="preserve">and</w:t>
      </w:r>
      <w:r>
        <w:t xml:space="preserve"> </w:t>
      </w:r>
      <w:r>
        <w:t xml:space="preserve">state that images will be retrieved, not only records read.</w:t>
      </w:r>
    </w:p>
    <w:bookmarkEnd w:id="12"/>
    <w:bookmarkStart w:id="13" w:name="Xf303da4543fa5d08f6412f1db03c20dc75facca"/>
    <w:p>
      <w:pPr>
        <w:pStyle w:val="Heading1"/>
      </w:pPr>
      <w:r>
        <w:t xml:space="preserve">What each added person must do before Andreea can submit</w:t>
      </w:r>
    </w:p>
    <w:p>
      <w:pPr>
        <w:pStyle w:val="Compact"/>
        <w:numPr>
          <w:ilvl w:val="0"/>
          <w:numId w:val="1004"/>
        </w:numPr>
      </w:pPr>
      <w:r>
        <w:t xml:space="preserve">Log in to eProtocol at https://ksprodweb.ovpr.wayne.edu/ with a WSU AccessID.</w:t>
      </w:r>
    </w:p>
    <w:p>
      <w:pPr>
        <w:pStyle w:val="Compact"/>
        <w:numPr>
          <w:ilvl w:val="0"/>
          <w:numId w:val="1004"/>
        </w:numPr>
      </w:pPr>
      <w:r>
        <w:t xml:space="preserve">Confirm CITI is current:</w:t>
      </w:r>
      <w:r>
        <w:t xml:space="preserve"> </w:t>
      </w:r>
      <w:r>
        <w:rPr>
          <w:i/>
          <w:iCs/>
        </w:rPr>
        <w:t xml:space="preserve">Biomedical Investigators</w:t>
      </w:r>
      <w:r>
        <w:t xml:space="preserve">,</w:t>
      </w:r>
      <w:r>
        <w:t xml:space="preserve"> </w:t>
      </w:r>
      <w:r>
        <w:rPr>
          <w:i/>
          <w:iCs/>
        </w:rPr>
        <w:t xml:space="preserve">HIPS for Students and</w:t>
      </w:r>
      <w:r>
        <w:rPr>
          <w:i/>
          <w:iCs/>
        </w:rPr>
        <w:t xml:space="preserve"> </w:t>
      </w:r>
      <w:r>
        <w:rPr>
          <w:i/>
          <w:iCs/>
        </w:rPr>
        <w:t xml:space="preserve">Instructors</w:t>
      </w:r>
      <w:r>
        <w:t xml:space="preserve">,</w:t>
      </w:r>
      <w:r>
        <w:t xml:space="preserve"> </w:t>
      </w:r>
      <w:r>
        <w:rPr>
          <w:i/>
          <w:iCs/>
        </w:rPr>
        <w:t xml:space="preserve">Biomedical Responsible Conduct of Research</w:t>
      </w:r>
      <w:r>
        <w:t xml:space="preserve">. The protocol’s own personnel</w:t>
      </w:r>
      <w:r>
        <w:t xml:space="preserve"> </w:t>
      </w:r>
      <w:r>
        <w:t xml:space="preserve">pages show these are the ones checked.</w:t>
      </w:r>
    </w:p>
    <w:p>
      <w:pPr>
        <w:pStyle w:val="Compact"/>
        <w:numPr>
          <w:ilvl w:val="0"/>
          <w:numId w:val="1004"/>
        </w:numPr>
      </w:pPr>
      <w:r>
        <w:t xml:space="preserve">Sign the</w:t>
      </w:r>
      <w:r>
        <w:t xml:space="preserve"> </w:t>
      </w:r>
      <w:r>
        <w:rPr>
          <w:b/>
          <w:bCs/>
        </w:rPr>
        <w:t xml:space="preserve">Obligations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04"/>
        </w:numPr>
      </w:pPr>
      <w:r>
        <w:t xml:space="preserve">Complete the</w:t>
      </w:r>
      <w:r>
        <w:t xml:space="preserve"> </w:t>
      </w:r>
      <w:r>
        <w:rPr>
          <w:b/>
          <w:bCs/>
        </w:rPr>
        <w:t xml:space="preserve">COI disclosure</w:t>
      </w:r>
      <w:r>
        <w:t xml:space="preserve">.</w:t>
      </w:r>
    </w:p>
    <w:p>
      <w:pPr>
        <w:pStyle w:val="FirstParagraph"/>
      </w:pPr>
      <w:r>
        <w:t xml:space="preserve">One incomplete person holds the whole amendment. The personnel list should be whoever is</w:t>
      </w:r>
      <w:r>
        <w:t xml:space="preserve"> </w:t>
      </w:r>
      <w:r>
        <w:t xml:space="preserve">done by the submission date, and the rest added on the next one.</w:t>
      </w:r>
    </w:p>
    <w:bookmarkEnd w:id="13"/>
    <w:bookmarkStart w:id="14" w:name="open-items-before-submission"/>
    <w:p>
      <w:pPr>
        <w:pStyle w:val="Heading1"/>
      </w:pPr>
      <w:r>
        <w:t xml:space="preserve">Open items before submission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[N]</w:t>
      </w:r>
      <w:r>
        <w:t xml:space="preserve">, the new record count, from the trauma-log query (encounters with a spine</w:t>
      </w:r>
      <w:r>
        <w:t xml:space="preserve"> </w:t>
      </w:r>
      <w:r>
        <w:t xml:space="preserve">radiograph and a CT report in the same encounter). Set it once, use it everywhere.</w:t>
      </w:r>
    </w:p>
    <w:p>
      <w:pPr>
        <w:pStyle w:val="Compact"/>
        <w:numPr>
          <w:ilvl w:val="0"/>
          <w:numId w:val="1005"/>
        </w:numPr>
      </w:pPr>
      <w:r>
        <w:t xml:space="preserve">Whether the two radiology residents adjudicate DMC images (add them) or only public data</w:t>
      </w:r>
      <w:r>
        <w:t xml:space="preserve"> </w:t>
      </w:r>
      <w:r>
        <w:t xml:space="preserve">(do not).</w:t>
      </w:r>
    </w:p>
    <w:p>
      <w:pPr>
        <w:pStyle w:val="Compact"/>
        <w:numPr>
          <w:ilvl w:val="0"/>
          <w:numId w:val="1005"/>
        </w:numPr>
      </w:pPr>
      <w:r>
        <w:t xml:space="preserve">A labeling tool on WSU compute. The annotators have been using ITK-SNAP with a Google</w:t>
      </w:r>
      <w:r>
        <w:t xml:space="preserve"> </w:t>
      </w:r>
      <w:r>
        <w:t xml:space="preserve">Colab server; Colab is commercial cloud and is excluded by the storage text above. ITK-SNAP</w:t>
      </w:r>
      <w:r>
        <w:t xml:space="preserve"> </w:t>
      </w:r>
      <w:r>
        <w:t xml:space="preserve">or 3D Slicer on a WSU-managed machine, or self-hosted CVAT on the cluster, before any DMC</w:t>
      </w:r>
      <w:r>
        <w:t xml:space="preserve"> </w:t>
      </w:r>
      <w:r>
        <w:t xml:space="preserve">image is opened.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to IRB-21-10-4123 — eProtocol text and checklist</dc:title>
  <dc:creator>Prepared by Gregory Schwing, MD, PhD, for Andreea Geamanu</dc:creator>
  <cp:keywords/>
  <dcterms:created xsi:type="dcterms:W3CDTF">2026-09-04T01:31:01Z</dcterms:created>
  <dcterms:modified xsi:type="dcterms:W3CDTF">2026-09-04T01:31:01Z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Improving Outcome in Orthopaedics Trauma Care (PI: Rahul Vaidya, MD)</vt:lpwstr>
  </property>
</Properties>
</file>