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df" ContentType="application/pdf"/>
  <Override PartName="/word/media/rId36.pdf" ContentType="application/pdf"/>
  <Override PartName="/word/media/rId49.pdf" ContentType="application/pdf"/>
  <Override PartName="/word/media/rId28.pdf" ContentType="application/pdf"/>
  <Override PartName="/word/media/rId45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under a persistent identifier,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read independently by two radiology resident physicians and resolved by</w:t>
      </w:r>
      <w:r>
        <w:t xml:space="preserve"> </w:t>
      </w:r>
      <w:r>
        <w:t xml:space="preserve">consensus.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spine commonly carries seven cervical, twelve thoracic and five lumbar vertebrae, and a</w:t>
      </w:r>
      <w:r>
        <w:t xml:space="preserve"> </w:t>
      </w:r>
      <w:r>
        <w:t xml:space="preserve">vertebra is identified by where it falls in that sequence. Transitional variants sit at the</w:t>
      </w:r>
      <w:r>
        <w:t xml:space="preserve"> </w:t>
      </w:r>
      <w:r>
        <w:t xml:space="preserve">two ends of the lumbar column — the thoracolumbar transitional vertebra (TLTV) above, the</w:t>
      </w:r>
      <w:r>
        <w:t xml:space="preserve"> </w:t>
      </w:r>
      <w:r>
        <w:t xml:space="preserve">lumbosacral transitional vertebra (LSTV) below — and they disturb identification in two</w:t>
      </w:r>
      <w:r>
        <w:t xml:space="preserve"> </w:t>
      </w:r>
      <w:r>
        <w:t xml:space="preserve">ways at once. They change what the border vertebra and its ribs</w:t>
      </w:r>
      <w:r>
        <w:t xml:space="preserve"> </w:t>
      </w:r>
      <w:r>
        <w:rPr>
          <w:i/>
          <w:iCs/>
        </w:rPr>
        <w:t xml:space="preserve">look like</w:t>
      </w:r>
      <w:r>
        <w:t xml:space="preserve">: a</w:t>
      </w:r>
      <w:r>
        <w:t xml:space="preserve"> </w:t>
      </w:r>
      <w:r>
        <w:t xml:space="preserve">thoracolumbar border vertebra may carry a full rib, a hypoplastic stump, or none at all, and</w:t>
      </w:r>
      <w:r>
        <w:t xml:space="preserve"> </w:t>
      </w:r>
      <w:r>
        <w:t xml:space="preserve">a lumbosacral one may be partly or completely assimilated to the sacrum, with an anteriorly</w:t>
      </w:r>
      <w:r>
        <w:t xml:space="preserve"> </w:t>
      </w:r>
      <w:r>
        <w:t xml:space="preserve">wedged body, a reduced disc beneath it and hypoplastic facet joints, or conversely separated</w:t>
      </w:r>
      <w:r>
        <w:t xml:space="preserve"> </w:t>
      </w:r>
      <w:r>
        <w:t xml:space="preserve">from it with a squared body, lumbar-type facets and a full-height disc </w:t>
      </w:r>
      <w:r>
        <w:t xml:space="preserve">.</w:t>
      </w:r>
      <w:r>
        <w:t xml:space="preserve"> </w:t>
      </w:r>
      <w:r>
        <w:t xml:space="preserve">They also change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vertebrae each region contains — eleven or thirteen</w:t>
      </w:r>
      <w:r>
        <w:t xml:space="preserve"> </w:t>
      </w:r>
      <w:r>
        <w:t xml:space="preserve">thoracic, four or six lumbar.</w:t>
      </w:r>
    </w:p>
    <w:p>
      <w:pPr>
        <w:pStyle w:val="BodyText"/>
      </w:pPr>
      <w:r>
        <w:t xml:space="preserve">Either change alone would be tractable. Together they make it difficult to state definitively</w:t>
      </w:r>
      <w:r>
        <w:t xml:space="preserve"> </w:t>
      </w:r>
      <w:r>
        <w:t xml:space="preserve">what any vertebra at these borders</w:t>
      </w:r>
      <w:r>
        <w:t xml:space="preserve"> </w:t>
      </w:r>
      <w:r>
        <w:rPr>
          <w:i/>
          <w:iCs/>
        </w:rPr>
        <w:t xml:space="preserve">is</w:t>
      </w:r>
      <w:r>
        <w:t xml:space="preserve">. Four rib-free vertebrae above the sacrum may mean</w:t>
      </w:r>
      <w:r>
        <w:t xml:space="preserve"> </w:t>
      </w:r>
      <w:r>
        <w:t xml:space="preserve">an L1 bearing a lumbar rib or an L5 assimilated to it; six may mean a true sixth lumbar</w:t>
      </w:r>
      <w:r>
        <w:t xml:space="preserve"> </w:t>
      </w:r>
      <w:r>
        <w:t xml:space="preserve">vertebra or a T12 whose ribs are aplastic. Each pair yields the same count, and the</w:t>
      </w:r>
      <w:r>
        <w:t xml:space="preserve"> </w:t>
      </w:r>
      <w:r>
        <w:t xml:space="preserve">morphology that would separate the two readings is not decisive to a human reader in every</w:t>
      </w:r>
      <w:r>
        <w:t xml:space="preserve"> </w:t>
      </w:r>
      <w:r>
        <w:t xml:space="preserve">case. Whether it nonetheless differs enough for a learned classifier to separate them, or at</w:t>
      </w:r>
      <w:r>
        <w:t xml:space="preserve"> </w:t>
      </w:r>
      <w:r>
        <w:t xml:space="preserve">least to assign each reading a probability, is the question this release is built to</w:t>
      </w:r>
      <w:r>
        <w:t xml:space="preserve"> </w:t>
      </w:r>
      <w:r>
        <w:t xml:space="preserve">support. Absent that, what remains is the sequence — conventionally established by</w:t>
      </w:r>
      <w:r>
        <w:t xml:space="preserve"> </w:t>
      </w:r>
      <w:r>
        <w:t xml:space="preserve">counting downward from C2, the reference standard for numeration </w:t>
      </w:r>
      <w:r>
        <w:t xml:space="preserve">, and</w:t>
      </w:r>
      <w:r>
        <w:t xml:space="preserve"> </w:t>
      </w:r>
      <w:r>
        <w:t xml:space="preserve">unavailable in any spine-limited acquisition. LSTV is common,</w:t>
      </w:r>
      <w:r>
        <w:t xml:space="preserve"> </w:t>
      </w:r>
      <w:r>
        <w:t xml:space="preserve">reported between 4% and 30% depending on definition, and wrong-level surgery is its most</w:t>
      </w:r>
      <w:r>
        <w:t xml:space="preserve"> </w:t>
      </w:r>
      <w:r>
        <w:t xml:space="preserve">serious consequence.</w:t>
      </w:r>
    </w:p>
    <w:p>
      <w:pPr>
        <w:pStyle w:val="BodyText"/>
      </w:pPr>
      <w:r>
        <w:t xml:space="preserve">Existing public collections cannot address this, and size is not the reason</w:t>
      </w:r>
      <w:r>
        <w:t xml:space="preserve"> </w:t>
      </w:r>
      <w:r>
        <w:t xml:space="preserve">(Table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). Spine datasets omit the pelvis; pelvic datasets do not number the</w:t>
      </w:r>
      <w:r>
        <w:t xml:space="preserve"> </w:t>
      </w:r>
      <w:r>
        <w:t xml:space="preserve">vertebrae; and TotalSegmentator, the whole-body scheme, has no class for a sixth lumbar</w:t>
      </w:r>
      <w:r>
        <w:t xml:space="preserve"> </w:t>
      </w:r>
      <w:r>
        <w:t xml:space="preserve">vertebra or for a rib on a lumbar vertebra. A six-lumbar spine therefore cannot be recorded</w:t>
      </w:r>
      <w:r>
        <w:t xml:space="preserve"> </w:t>
      </w:r>
      <w:r>
        <w:t xml:space="preserve">in any of them, however good the segmentation. VerSe </w:t>
      </w:r>
      <w:r>
        <w:t xml:space="preserve"> </w:t>
      </w:r>
      <w:r>
        <w:t xml:space="preserve">makes the</w:t>
      </w:r>
      <w:r>
        <w:t xml:space="preserve"> </w:t>
      </w:r>
      <w:r>
        <w:t xml:space="preserve">point most clearly (Table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): it deliberately enriched for anatomical</w:t>
      </w:r>
      <w:r>
        <w:t xml:space="preserve"> </w:t>
      </w:r>
      <w:r>
        <w:t xml:space="preserve">variants and graded them by Castellvi, yet left the graded vertebrae fused to the sacrum</w:t>
      </w:r>
      <w:r>
        <w:t xml:space="preserve"> </w:t>
      </w:r>
      <w:r>
        <w:t xml:space="preserve">unsegmented.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 . Citations should</w:t>
      </w:r>
      <w:r>
        <w:t xml:space="preserve"> </w:t>
      </w:r>
      <w:r>
        <w:t xml:space="preserve">use 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9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 The positional description is, by construction,</w:t>
      </w:r>
      <w:r>
        <w:t xml:space="preserve"> </w:t>
      </w:r>
      <w:r>
        <w:t xml:space="preserve">blind to the ambiguity: an L1 bearing a lumbar rib and an L5 assimilated to the sacrum both</w:t>
      </w:r>
      <w:r>
        <w:t xml:space="preserve"> </w:t>
      </w:r>
      <w:r>
        <w:t xml:space="preserve">leave four rib-free vertebrae above the sacrum, and a true sixth lumbar vertebra and a T12</w:t>
      </w:r>
      <w:r>
        <w:t xml:space="preserve"> </w:t>
      </w:r>
      <w:r>
        <w:t xml:space="preserve">with aplastic ribs both leave six. The count alone cannot separate the readings.</w:t>
      </w:r>
    </w:p>
    <w:p>
      <w:pPr>
        <w:pStyle w:val="BodyText"/>
      </w:pPr>
      <w:r>
        <w:rPr>
          <w:i/>
          <w:iCs/>
        </w:rPr>
        <w:t xml:space="preserve">But the vertebrae themselves are known to differ.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Level-specific morphometry is long established: pedicle width and height change</w:t>
      </w:r>
      <w:r>
        <w:t xml:space="preserve"> </w:t>
      </w:r>
      <w:r>
        <w:t xml:space="preserve">systematically from the thoracic to the lumbar spine,</w:t>
      </w:r>
      <w:r>
        <w:t xml:space="preserve"> </w:t>
      </w:r>
      <w:r>
        <w:t xml:space="preserve">vertebral body,</w:t>
      </w:r>
      <w:r>
        <w:t xml:space="preserve"> </w:t>
      </w:r>
      <w:r>
        <w:t xml:space="preserve">endplate and canal dimensions differ by level,</w:t>
      </w:r>
      <w:r>
        <w:t xml:space="preserve"> </w:t>
      </w:r>
      <w:r>
        <w:t xml:space="preserve">and</w:t>
      </w:r>
      <w:r>
        <w:t xml:space="preserve"> </w:t>
      </w:r>
      <w:r>
        <w:t xml:space="preserve">the transverse process and the iliolumbar ligament mark the last lumbar vertebra</w:t>
      </w:r>
      <w:r>
        <w:t xml:space="preserve"> </w:t>
      </w:r>
      <w:r>
        <w:t xml:space="preserve">independently of any count.</w:t>
      </w:r>
      <w:r>
        <w:t xml:space="preserve"> </w:t>
      </w:r>
      <w:r>
        <w:t xml:space="preserve">If those differences hold at the</w:t>
      </w:r>
      <w:r>
        <w:t xml:space="preserve"> </w:t>
      </w:r>
      <w:r>
        <w:t xml:space="preserve">boundary itself, the phenotype is decidable from the vertebra in front of the reader without</w:t>
      </w:r>
      <w:r>
        <w:t xml:space="preserve"> </w:t>
      </w:r>
      <w:r>
        <w:t xml:space="preserve">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Collection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CTSpine1K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CTPelvic1K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184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VerSe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RibSeg v2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TotalSegmentator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CTSpinoPelvic1K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End w:id="10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1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How the dataset was built.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counts scans, or corrections, at each step.</w:t>
      </w:r>
    </w:p>
    <w:bookmarkEnd w:id="11"/>
    <w:bookmarkStart w:id="12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matters because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</w:t>
      </w:r>
      <w:r>
        <w:t xml:space="preserve"> </w:t>
      </w:r>
      <w:r>
        <w:t xml:space="preserve">prone and supine, and an annotation carries a patient identifier and nothing finer. Turning</w:t>
      </w:r>
      <w:r>
        <w:t xml:space="preserve"> </w:t>
      </w:r>
      <w:r>
        <w:t xml:space="preserve">a patient from supine to prone alters lumbar lordosis and the alignment of each segment</w:t>
      </w:r>
      <w:r>
        <w:t xml:space="preserve"> </w:t>
      </w:r>
      <w:r>
        <w:t xml:space="preserve">against the next, so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</w:t>
      </w:r>
      <w:r>
        <w:t xml:space="preserve"> </w:t>
      </w:r>
      <w:r>
        <w:t xml:space="preserve">and no rigid realignment recovers them; such a mask looks competent in isolation and reveals</w:t>
      </w:r>
      <w:r>
        <w:t xml:space="preserve"> </w:t>
      </w:r>
      <w:r>
        <w:t xml:space="preserve">itself only overlaid on the image. The crosswalk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 therefore</w:t>
      </w:r>
      <w:r>
        <w:t xml:space="preserve"> </w:t>
      </w:r>
      <w:r>
        <w:t xml:space="preserve">resolves each annotation to a patient and then, within that patient’s volumes, to the series</w:t>
      </w:r>
      <w:r>
        <w:t xml:space="preserve"> </w:t>
      </w:r>
      <w:r>
        <w:t xml:space="preserve">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</w:t>
      </w:r>
      <w:r>
        <w:t xml:space="preserve"> </w:t>
      </w:r>
      <w:r>
        <w:t xml:space="preserve">by overlap with the mask.</w:t>
      </w:r>
    </w:p>
    <w:bookmarkEnd w:id="12"/>
    <w:bookmarkStart w:id="13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 and do not always land on the same</w:t>
      </w:r>
      <w:r>
        <w:t xml:space="preserve"> </w:t>
      </w:r>
      <w:r>
        <w:t xml:space="preserve">series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). The split is the crosswalk’s main finding: in the 351</w:t>
      </w:r>
      <w:r>
        <w:t xml:space="preserve"> </w:t>
      </w:r>
      <w:r>
        <w:t xml:space="preserve">separate records — nearly half of all 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 person</w:t>
      </w:r>
      <w:r>
        <w:t xml:space="preserve">, and neither recorded which. A pelvic annotation</w:t>
      </w:r>
      <w:r>
        <w:t xml:space="preserve"> </w:t>
      </w:r>
      <w:r>
        <w:t xml:space="preserve">on the other acquisition of a prone/supine pair cannot be combined with the spine annotation</w:t>
      </w:r>
      <w:r>
        <w:t xml:space="preserve"> </w:t>
      </w:r>
      <w:r>
        <w:t xml:space="preserve">without resampling across a change of posture, so those records are retained and held out of</w:t>
      </w:r>
      <w:r>
        <w:t xml:space="preserve"> </w:t>
      </w:r>
      <w:r>
        <w:t xml:space="preserve">the postural analyses: two acquisitions of one patient differing in alignment are a resource</w:t>
      </w:r>
      <w:r>
        <w:t xml:space="preserve"> </w:t>
      </w:r>
      <w:r>
        <w:t xml:space="preserve">for a mobility study, not a defect.</w:t>
      </w:r>
    </w:p>
    <w:bookmarkEnd w:id="13"/>
    <w:bookmarkStart w:id="14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a spinopelvic dataset, so the</w:t>
      </w:r>
      <w:r>
        <w:t xml:space="preserve"> </w:t>
      </w:r>
      <w:r>
        <w:t xml:space="preserve">missing structures were pseudolabeled — asymmetrically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). Pelvis</w:t>
      </w:r>
      <w:r>
        <w:t xml:space="preserve"> </w:t>
      </w:r>
      <w:r>
        <w:t xml:space="preserve">onto spine-only records is the safe direction: the sacrum and innominate bones carry no</w:t>
      </w:r>
      <w:r>
        <w:t xml:space="preserve"> </w:t>
      </w:r>
      <w:r>
        <w:t xml:space="preserve">enumeration to get wrong, and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that purpose. The reverse direction</w:t>
      </w:r>
      <w:r>
        <w:t xml:space="preserve"> </w:t>
      </w:r>
      <w:r>
        <w:t xml:space="preserve">carries the whole problem this dataset addresses, since a pseudolabeled spine must commit to</w:t>
      </w:r>
      <w:r>
        <w:t xml:space="preserve"> </w:t>
      </w:r>
      <w:r>
        <w:t xml:space="preserve">a count and on a transitional vertebra commits to the commoner reading; those 20 records were</w:t>
      </w:r>
      <w:r>
        <w:t xml:space="preserve"> </w:t>
      </w:r>
      <w:r>
        <w:t xml:space="preserve">corrected by hand, which is tractable at twenty.</w:t>
      </w:r>
    </w:p>
    <w:bookmarkEnd w:id="14"/>
    <w:bookmarkStart w:id="15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reports high accuracy, and its authors show</w:t>
      </w:r>
      <w:r>
        <w:t xml:space="preserve"> </w:t>
      </w:r>
      <w:r>
        <w:t xml:space="preserve">that stump ribs can be classified from a partial field of view; that result concerns the</w:t>
      </w:r>
      <w:r>
        <w:t xml:space="preserve"> </w:t>
      </w:r>
      <w:r>
        <w:t xml:space="preserve">morphological features computed on a rib once segmented. On this corpus the segmentation</w:t>
      </w:r>
      <w:r>
        <w:t xml:space="preserve"> </w:t>
      </w:r>
      <w:r>
        <w:t xml:space="preserve">itself failed on ribs that were</w:t>
      </w:r>
      <w:r>
        <w:t xml:space="preserve"> </w:t>
      </w:r>
      <w:r>
        <w:rPr>
          <w:i/>
          <w:iCs/>
        </w:rPr>
        <w:t xml:space="preserve">partially outside</w:t>
      </w:r>
      <w:r>
        <w:t xml:space="preserve"> </w:t>
      </w:r>
      <w:r>
        <w:t xml:space="preserve">the field of view: a rib crossing</w:t>
      </w:r>
      <w:r>
        <w:t xml:space="preserve"> </w:t>
      </w:r>
      <w:r>
        <w:t xml:space="preserve">the boundary of an abdominal acquisition was liable to be missed altogether rather than</w:t>
      </w:r>
      <w:r>
        <w:t xml:space="preserve"> </w:t>
      </w:r>
      <w:r>
        <w:t xml:space="preserve">segmented to the edge. This is not a limitation its authors report — their evaluation</w:t>
      </w:r>
      <w:r>
        <w:t xml:space="preserve"> </w:t>
      </w:r>
      <w:r>
        <w:t xml:space="preserve">excluded subjects in which the last rib was not visible, and their failure analysis</w:t>
      </w:r>
      <w:r>
        <w:t xml:space="preserve"> </w:t>
      </w:r>
      <w:r>
        <w:t xml:space="preserve">attributes errors to costal-process fusion — so it is recorded here as an observation</w:t>
      </w:r>
      <w:r>
        <w:t xml:space="preserve"> </w:t>
      </w:r>
      <w:r>
        <w:t xml:space="preserve">from this cohort. Since this is a colonography cohort, the lower ribs are routinely</w:t>
      </w:r>
      <w:r>
        <w:t xml:space="preserve"> </w:t>
      </w:r>
      <w:r>
        <w:t xml:space="preserve">clipped, and those are 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rib–vertebra incidence</w:t>
      </w:r>
      <w:r>
        <w:t xml:space="preserve"> </w:t>
      </w:r>
      <w:r>
        <w:t xml:space="preserve">check — the quality-control gate on the rib class labels, which matches each rib to the</w:t>
      </w:r>
      <w:r>
        <w:t xml:space="preserve"> </w:t>
      </w:r>
      <w:r>
        <w:t xml:space="preserve">vertebra its number implies — has nothing to test.</w:t>
      </w:r>
    </w:p>
    <w:p>
      <w:pPr>
        <w:pStyle w:val="BodyText"/>
      </w:pPr>
      <w:r>
        <w:t xml:space="preserve">The two were therefore unioned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15"/>
    <w:bookmarkStart w:id="20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lumbar ribs (74–75) and surgical hardware</w:t>
      </w:r>
      <w:r>
        <w:t xml:space="preserve"> </w:t>
      </w:r>
      <w:r>
        <w:t xml:space="preserve">(76–82). Identifiers 58–73 are unassigned: a soft-tissue block once reserved there was</w:t>
      </w:r>
      <w:r>
        <w:t xml:space="preserve"> </w:t>
      </w:r>
      <w:r>
        <w:t xml:space="preserve">never populated and is retired.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19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fig_anchors.pdf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anchors, from the released labels. Red, lowest rib-bearing vertebra and</w:t>
      </w:r>
      <w:r>
        <w:t xml:space="preserve"> </w:t>
      </w:r>
      <w:r>
        <w:t xml:space="preserve">its rib; blue, S1; yellow, the rib-free vertebrae between. (b) and (c) both count four.</w:t>
      </w:r>
    </w:p>
    <w:bookmarkEnd w:id="19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0"/>
    <w:bookmarkStart w:id="23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The five fold</w:t>
      </w:r>
      <w:r>
        <w:t xml:space="preserve"> </w:t>
      </w:r>
      <w:r>
        <w:t xml:space="preserve">checkpoints, with their nnU-Net plans and dataset descriptor, are released alongside the</w:t>
      </w:r>
      <w:r>
        <w:t xml:space="preserve"> </w:t>
      </w:r>
      <w:r>
        <w:t xml:space="preserve">data (</w:t>
      </w:r>
      <w:hyperlink r:id="rId21">
        <w:r>
          <w:rPr>
            <w:rStyle w:val="Hyperlink"/>
          </w:rPr>
          <w:t xml:space="preserve">https://huggingface.co/anonymous-mlhc/spinopelvic-seg-checkpoints</w:t>
        </w:r>
      </w:hyperlink>
      <w:hyperlink r:id="rId22">
        <w:r>
          <w:rPr>
            <w:rStyle w:val="Hyperlink"/>
          </w:rPr>
          <w:t xml:space="preserve">https://huggingface.co/OpenSpineConsortium/spinopelvic-seg-checkpoints</w:t>
        </w:r>
      </w:hyperlink>
      <w:r>
        <w:t xml:space="preserve">).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3"/>
    <w:bookmarkStart w:id="24" w:name="sec:validation"/>
    <w:p>
      <w:pPr>
        <w:pStyle w:val="Heading2"/>
      </w:pPr>
      <w:r>
        <w:t xml:space="preserve">Validation</w:t>
      </w:r>
    </w:p>
    <w:p>
      <w:pPr>
        <w:pStyle w:val="FirstParagraph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implies. Of 11</w:t>
      </w:r>
      <w:r>
        <w:t xml:space="preserve">,</w:t>
      </w:r>
      <w:r>
        <w:t xml:space="preserve">548 ribs, 5</w:t>
      </w:r>
      <w:r>
        <w:t xml:space="preserve">,</w:t>
      </w:r>
      <w:r>
        <w:t xml:space="preserve">788 are not evaluable</w:t>
      </w:r>
      <w:r>
        <w:t xml:space="preserve"> </w:t>
      </w:r>
      <w:r>
        <w:t xml:space="preserve">because the expected vertebra lies outside the field of view and 11 have no vertebra within</w:t>
      </w:r>
      <w:r>
        <w:t xml:space="preserve"> </w:t>
      </w:r>
      <w:r>
        <w:t xml:space="preserve">the anchor distance; of the 5</w:t>
      </w:r>
      <w:r>
        <w:t xml:space="preserve">,</w:t>
      </w:r>
      <w:r>
        <w:t xml:space="preserve">749 evaluable, 5</w:t>
      </w:r>
      <w:r>
        <w:t xml:space="preserve">,</w:t>
      </w:r>
      <w:r>
        <w:t xml:space="preserve">747 match, two (0.035%) are offset by one</w:t>
      </w:r>
      <w:r>
        <w:t xml:space="preserve"> </w:t>
      </w:r>
      <w:r>
        <w:t xml:space="preserve">level, and no case is misnumbered. The denominator is stated because quoting the two</w:t>
      </w:r>
      <w:r>
        <w:t xml:space="preserve"> </w:t>
      </w:r>
      <w:r>
        <w:t xml:space="preserve">residual 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4"/>
    <w:bookmarkStart w:id="25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Two radiology resident physicians graded every case independently and resolved their six</w:t>
      </w:r>
      <w:r>
        <w:t xml:space="preserve"> </w:t>
      </w:r>
      <w:r>
        <w:t xml:space="preserve">disagreements by consensus; both reads and the consensus are in the manifest. The distinction</w:t>
      </w:r>
      <w:r>
        <w:t xml:space="preserve"> </w:t>
      </w:r>
      <w:r>
        <w:t xml:space="preserve">the classification turns on — bony fusion against articulation without</w:t>
      </w:r>
      <w:r>
        <w:t xml:space="preserve"> </w:t>
      </w:r>
      <w:r>
        <w:t xml:space="preserve">it </w:t>
      </w:r>
      <w:r>
        <w:t xml:space="preserve"> </w:t>
      </w:r>
      <w:r>
        <w:t xml:space="preserve">— is the one carrying clinical weight, and it is where the</w:t>
      </w:r>
      <w:r>
        <w:t xml:space="preserve"> </w:t>
      </w:r>
      <w:r>
        <w:t xml:space="preserve">disagreements lay: four of the six were III against II.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5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because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: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fused transitional</w:t>
      </w:r>
      <w:r>
        <w:t xml:space="preserve"> </w:t>
      </w:r>
      <w:r>
        <w:t xml:space="preserve">vertebra does. An unrecorded instrumented case is therefore a false positive on the central</w:t>
      </w:r>
      <w:r>
        <w:t xml:space="preserve"> </w:t>
      </w:r>
      <w:r>
        <w:t xml:space="preserve">measure.</w:t>
      </w:r>
    </w:p>
    <w:bookmarkStart w:id="26" w:name="X6ccedf8a194116531bb518b375b53d9e1e007e9"/>
    <w:p>
      <w:pPr>
        <w:pStyle w:val="Heading4"/>
      </w:pPr>
      <w:r>
        <w:t xml:space="preserve">Detection over-calls by a factor of five.</w:t>
      </w:r>
    </w:p>
    <w:p>
      <w:pPr>
        <w:pStyle w:val="FirstParagraph"/>
      </w:pPr>
      <w:r>
        <w:t xml:space="preserve">A 2500 HU threshold inside a shell</w:t>
      </w:r>
      <w:r>
        <w:t xml:space="preserve"> </w:t>
      </w:r>
      <w:r>
        <w:t xml:space="preserve">around the labeled skeleton flags 52 of the 802 records. One of the two radiology</w:t>
      </w:r>
      <w:r>
        <w:t xml:space="preserve"> </w:t>
      </w:r>
      <w:r>
        <w:t xml:space="preserve">resident physicians read all 52 and confirmed 11, rejecting 41 (79%) as contrast,</w:t>
      </w:r>
      <w:r>
        <w:t xml:space="preserve"> </w:t>
      </w:r>
      <w:r>
        <w:t xml:space="preserve">calcification and reconstruction artefact. Attenuation does not separate the two groups</w:t>
      </w:r>
      <w:r>
        <w:t xml:space="preserve"> </w:t>
      </w:r>
      <w:r>
        <w:t xml:space="preserve">(both saturate); site and volume do, every confirmed implant 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</w:t>
      </w:r>
      <w:r>
        <w:t xml:space="preserve"> </w:t>
      </w:r>
      <w:r>
        <w:t xml:space="preserve">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 Instrumentation prevalence is 1.4%, not the</w:t>
      </w:r>
      <w:r>
        <w:t xml:space="preserve"> </w:t>
      </w:r>
      <w:r>
        <w:t xml:space="preserve">6.5% the threshold alone reports.</w:t>
      </w:r>
    </w:p>
    <w:bookmarkEnd w:id="26"/>
    <w:bookmarkStart w:id="27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(generic, cage, screw-and-rod, plate) and cannot describe what this cohort</w:t>
      </w:r>
      <w:r>
        <w:t xml:space="preserve"> </w:t>
      </w:r>
      <w:r>
        <w:t xml:space="preserve">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added: osteosynthesis holds parts of one bone together where</w:t>
      </w:r>
      <w:r>
        <w:t xml:space="preserve"> </w:t>
      </w:r>
      <w:r>
        <w:t xml:space="preserve">arthroplasty replaces a joint, and a shape rule calls a femoral stem a rod. The confirmed</w:t>
      </w:r>
      <w:r>
        <w:t xml:space="preserve"> </w:t>
      </w:r>
      <w:r>
        <w:t xml:space="preserve">cases are 8 arthroplasties, one osteosynthesis, one sacroiliac fixation and one pair of</w:t>
      </w:r>
      <w:r>
        <w:t xml:space="preserve"> </w:t>
      </w:r>
      <w:r>
        <w:t xml:space="preserve">interbody cages (Fig. </w:t>
      </w:r>
      <w:hyperlink w:anchor="fig:hardware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27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so naming it reclaims 1,538,852 voxels rather</w:t>
      </w:r>
      <w:r>
        <w:t xml:space="preserve"> </w:t>
      </w:r>
      <w:r>
        <w:t xml:space="preserve">than adding them. Pelvic incidence and tilt are measured from the femoral head center, and</w:t>
      </w:r>
      <w:r>
        <w:t xml:space="preserve"> </w:t>
      </w:r>
      <w:r>
        <w:t xml:space="preserve">in 8 of these cases that head is an implant: any spinopelvic parameter previously computed</w:t>
      </w:r>
      <w:r>
        <w:t xml:space="preserve"> </w:t>
      </w:r>
      <w:r>
        <w:t xml:space="preserve">from them was measured on metal.</w:t>
      </w:r>
    </w:p>
    <w:bookmarkStart w:id="31" w:name="fig:hardware"/>
    <w:p>
      <w:pPr>
        <w:pStyle w:val="CaptionedFigure"/>
      </w:pPr>
      <w:r>
        <w:drawing>
          <wp:inline>
            <wp:extent cx="5334000" cy="1291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fig_hardware.pdf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Instrumentation in the release, one exemplar each, drawn through bone. (a) Hip</w:t>
      </w:r>
      <w:r>
        <w:t xml:space="preserve"> </w:t>
      </w:r>
      <w:r>
        <w:t xml:space="preserve">arthroplasty, 80,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. (b) Femoral-neck screws, 82,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(c) Sacroiliac screws, 81,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(d) Interbody cages, 77,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Bar, 5 cm.</w:t>
      </w:r>
    </w:p>
    <w:bookmarkEnd w:id="31"/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 (consensus of two readers)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measures. (a) Vertebrae between the lowest rib and the sacrum.</w:t>
      </w:r>
      <w:r>
        <w:t xml:space="preserve"> </w:t>
      </w:r>
      <w:r>
        <w:t xml:space="preserve">(b) Lowest rib length over the rib above. (c) Lowest lumbar transverse span against its gap</w:t>
      </w:r>
      <w:r>
        <w:t xml:space="preserve"> </w:t>
      </w:r>
      <w:r>
        <w:t xml:space="preserve">to the ala; transitional labels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4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5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standing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 </w:t>
      </w:r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4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53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Morphometry by level: median, interquartile range, 5th–95th percentile,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right. (a) Body height. (b) Endplate width. (c) Canal. (d) Pedicle width. (e) Disc height.</w:t>
      </w:r>
      <w:r>
        <w:t xml:space="preserve"> </w:t>
      </w:r>
      <w:r>
        <w:t xml:space="preserve">(f) Trabecular attenuation.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6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bookmarkStart w:id="52" w:name="fig:fov"/>
    <w:p>
      <w:pPr>
        <w:pStyle w:val="CaptionedFigure"/>
      </w:pPr>
      <w:r>
        <w:drawing>
          <wp:inline>
            <wp:extent cx="2870200" cy="1549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fig_fov.pdf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54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Records carrying each vertebral level, cranial to caudal. Counts per identifier</w:t>
      </w:r>
      <w:r>
        <w:t xml:space="preserve"> </w:t>
      </w:r>
      <w:r>
        <w:t xml:space="preserve">in Table S1.</w:t>
      </w:r>
    </w:p>
    <w:bookmarkEnd w:id="52"/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(Fig. </w:t>
      </w:r>
      <w:hyperlink w:anchor="fig:fov">
        <w:r>
          <w:rPr>
            <w:rStyle w:val="Hyperlink"/>
          </w:rPr>
          <w:t xml:space="preserve">7</w:t>
        </w:r>
      </w:hyperlink>
      <w:r>
        <w:t xml:space="preserve">) and</w:t>
      </w:r>
      <w:r>
        <w:t xml:space="preserve"> </w:t>
      </w:r>
      <w:r>
        <w:t xml:space="preserve">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partial-annotation sentinel (255) is</w:t>
      </w:r>
      <w:r>
        <w:t xml:space="preserve"> </w:t>
      </w:r>
      <w:r>
        <w:t xml:space="preserve">declared in the scheme and occurs in no record — established by counting identifiers</w:t>
      </w:r>
      <w:r>
        <w:t xml:space="preserve"> </w:t>
      </w:r>
      <w:r>
        <w:t xml:space="preserve">across all 802 released volumes rather than asserted. It is retained because the protocol</w:t>
      </w:r>
      <w:r>
        <w:t xml:space="preserve"> </w:t>
      </w:r>
      <w:r>
        <w:t xml:space="preserve">is part of the scheme and a later release may ship a partially traced record.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are a consensus of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53"/>
    <w:bookmarkEnd w:id="54"/>
    <w:bookmarkStart w:id="5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produces.</w:t>
      </w:r>
    </w:p>
    <w:bookmarkEnd w:id="55"/>
    <w:bookmarkStart w:id="56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</w:t>
      </w:r>
    </w:p>
    <w:bookmarkEnd w:id="56"/>
    <w:bookmarkStart w:id="5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r>
        <w:t xml:space="preserve">; the concept DOI resolves to the</w:t>
      </w:r>
      <w:r>
        <w:t xml:space="preserve"> </w:t>
      </w:r>
      <w:r>
        <w:t xml:space="preserve">current version.</w:t>
      </w:r>
      <w:r>
        <w:t xml:space="preserve"> </w:t>
      </w:r>
      <w:r>
        <w:t xml:space="preserve">The archive carries the loader, the label scheme, the quality-control tables and the</w:t>
      </w:r>
      <w:r>
        <w:t xml:space="preserve"> </w:t>
      </w:r>
      <w:r>
        <w:t xml:space="preserve">analysis code under an open-source licence. The repository URL identifies the authors; it</w:t>
      </w:r>
      <w:r>
        <w:t xml:space="preserve"> </w:t>
      </w:r>
      <w:r>
        <w:t xml:space="preserve">is on the title page and will be restored here for the camera-ready version.</w:t>
      </w:r>
    </w:p>
    <w:bookmarkEnd w:id="57"/>
    <w:bookmarkStart w:id="58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8"/>
    <w:bookmarkStart w:id="59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and annotations derived from it.</w:t>
      </w:r>
      <w:r>
        <w:t xml:space="preserve"> </w:t>
      </w:r>
      <w:r>
        <w:t xml:space="preserve">The authors’ institutional review board determined that it is not human participant</w:t>
      </w:r>
      <w:r>
        <w:t xml:space="preserve"> </w:t>
      </w:r>
      <w:r>
        <w:t xml:space="preserve">research under 45 CFR 46 and requires no oversight.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M. R. Zindrick et al.,</w:t>
      </w:r>
      <w:r>
        <w:t xml:space="preserve"> </w:t>
      </w:r>
      <w:r>
        <w:t xml:space="preserve">Analysis of the morphometric characteristics of the thoracic and lumbar pedicles,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12</w:t>
      </w:r>
      <w:r>
        <w:t xml:space="preserve">, 160–166 (1987),</w:t>
      </w:r>
      <w:r>
        <w:t xml:space="preserve"> </w:t>
      </w:r>
      <w:r>
        <w:t xml:space="preserve">doi:10.1097/00007632-198703000-00012.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Thoracic human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16</w:t>
      </w:r>
      <w:r>
        <w:t xml:space="preserve">, 888–901 (1991),</w:t>
      </w:r>
      <w:r>
        <w:t xml:space="preserve"> </w:t>
      </w:r>
      <w:r>
        <w:t xml:space="preserve">doi:10.1097/00007632-199108000-00006.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Human lumbar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17</w:t>
      </w:r>
      <w:r>
        <w:t xml:space="preserve">, 299–306 (1992),</w:t>
      </w:r>
      <w:r>
        <w:t xml:space="preserve"> </w:t>
      </w:r>
      <w:r>
        <w:t xml:space="preserve">doi:10.1097/00007632-199203000-00010.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R. J. Hughes and A. Saifuddin,</w:t>
      </w:r>
      <w:r>
        <w:t xml:space="preserve"> </w:t>
      </w:r>
      <w:r>
        <w:t xml:space="preserve">Numbering of lumbosacral transitional vertebrae on</w:t>
      </w:r>
      <w:r>
        <w:t xml:space="preserve"> </w:t>
      </w:r>
      <w:r>
        <w:t xml:space="preserve">MRI</w:t>
      </w:r>
      <w:r>
        <w:t xml:space="preserve">: role of the iliolumbar ligaments,</w:t>
      </w:r>
      <w:r>
        <w:t xml:space="preserve"> </w:t>
      </w:r>
      <w:r>
        <w:t xml:space="preserve">AJR Am. J. Roentgenol.</w:t>
      </w:r>
      <w:r>
        <w:t xml:space="preserve"> </w:t>
      </w:r>
      <w:r>
        <w:rPr>
          <w:b/>
          <w:bCs/>
        </w:rPr>
        <w:t xml:space="preserve">187</w:t>
      </w:r>
      <w:r>
        <w:t xml:space="preserve">, W59–W65 (2006),</w:t>
      </w:r>
      <w:r>
        <w:t xml:space="preserve"> </w:t>
      </w:r>
      <w:r>
        <w:t xml:space="preserve">doi:10.2214/AJR.05.0415.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df" /><Relationship Type="http://schemas.openxmlformats.org/officeDocument/2006/relationships/image" Id="rId36" Target="media/rId36.pdf" /><Relationship Type="http://schemas.openxmlformats.org/officeDocument/2006/relationships/image" Id="rId49" Target="media/rId49.pdf" /><Relationship Type="http://schemas.openxmlformats.org/officeDocument/2006/relationships/image" Id="rId28" Target="media/rId28.pdf" /><Relationship Type="http://schemas.openxmlformats.org/officeDocument/2006/relationships/image" Id="rId45" Target="media/rId45.pdf" /><Relationship Type="http://schemas.openxmlformats.org/officeDocument/2006/relationships/image" Id="rId40" Target="media/rId40.pdf" /><Relationship Type="http://schemas.openxmlformats.org/officeDocument/2006/relationships/hyperlink" Id="rId22" Target="https://huggingface.co/OpenSpineConsortium/spinopelvic-seg-checkpoints" TargetMode="External" /><Relationship Type="http://schemas.openxmlformats.org/officeDocument/2006/relationships/hyperlink" Id="rId21" Target="https://huggingface.co/anonymous-mlhc/spinopelvic-seg-checkpoi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huggingface.co/OpenSpineConsortium/spinopelvic-seg-checkpoints" TargetMode="External" /><Relationship Type="http://schemas.openxmlformats.org/officeDocument/2006/relationships/hyperlink" Id="rId21" Target="https://huggingface.co/anonymous-mlhc/spinopelvic-seg-checkpoi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2026-09-06T12:47:02Z</dcterms:created>
  <dcterms:modified xsi:type="dcterms:W3CDTF">2026-09-06T12:47:02Z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under a persistent identifier,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read independently by two radiology resident physicians and resolved by consensus.</vt:lpwstr>
  </property>
</Properties>
</file>