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Labeling a lumbar vertebra requires counting, and counting requires two fixed ends. The</w:t>
      </w:r>
      <w:r>
        <w:t xml:space="preserve"> </w:t>
      </w:r>
      <w:r>
        <w:t xml:space="preserve">spine commonly carries seven cervical, twelve thoracic and five lumbar vertebrae, but</w:t>
      </w:r>
      <w:r>
        <w:t xml:space="preserve"> </w:t>
      </w:r>
      <w:r>
        <w:rPr>
          <w:i/>
          <w:iCs/>
        </w:rPr>
        <w:t xml:space="preserve">enumeration anomalies</w:t>
      </w:r>
      <w:r>
        <w:t xml:space="preserve"> </w:t>
      </w:r>
      <w:r>
        <w:t xml:space="preserve">— eleven or thirteen thoracic, four or six lumbar — are</w:t>
      </w:r>
      <w:r>
        <w:t xml:space="preserve"> </w:t>
      </w:r>
      <w:r>
        <w:t xml:space="preserve">common, and the transitional phenotypes that produce them sit at the two ends of the lumbar</w:t>
      </w:r>
      <w:r>
        <w:t xml:space="preserve"> </w:t>
      </w:r>
      <w:r>
        <w:t xml:space="preserve">column: the lumbosacral transitional vertebra (LSTV) below and the thoracolumbar</w:t>
      </w:r>
      <w:r>
        <w:t xml:space="preserve"> </w:t>
      </w:r>
      <w:r>
        <w:t xml:space="preserve">transitional vertebra (TLTV) above. In the presence of an LSTV the lower end is not where it</w:t>
      </w:r>
      <w:r>
        <w:t xml:space="preserve"> </w:t>
      </w:r>
      <w:r>
        <w:t xml:space="preserve">is assumed to be. The two phenotypes are distinct developmental events — a lumbar segment</w:t>
      </w:r>
      <w:r>
        <w:t xml:space="preserve"> </w:t>
      </w:r>
      <w:r>
        <w:t xml:space="preserve">assimilating to the sacrum, or a sacral segment separating from it — and they leave</w:t>
      </w:r>
      <w:r>
        <w:t xml:space="preserve"> </w:t>
      </w:r>
      <w:r>
        <w:t xml:space="preserve">different traces: a sacralized L5 tends toward an anteriorly wedged body, a reduced disc</w:t>
      </w:r>
      <w:r>
        <w:t xml:space="preserve"> </w:t>
      </w:r>
      <w:r>
        <w:t xml:space="preserve">beneath it and hypoplastic or absent facet joints, while a lumbarized S1 tends toward a</w:t>
      </w:r>
      <w:r>
        <w:t xml:space="preserve"> </w:t>
      </w:r>
      <w:r>
        <w:t xml:space="preserve">squared body in the sagittal plane, well formed lumbar-type facets and a full-height</w:t>
      </w:r>
      <w:r>
        <w:t xml:space="preserve"> </w:t>
      </w:r>
      <w:r>
        <w:t xml:space="preserve">disc </w:t>
      </w:r>
      <w:r>
        <w:t xml:space="preserve">. What counting settles is the</w:t>
      </w:r>
      <w:r>
        <w:t xml:space="preserve"> </w:t>
      </w:r>
      <w:r>
        <w:rPr>
          <w:i/>
          <w:iCs/>
        </w:rPr>
        <w:t xml:space="preserve">name</w:t>
      </w:r>
      <w:r>
        <w:t xml:space="preserve">. The difficulty is that</w:t>
      </w:r>
      <w:r>
        <w:t xml:space="preserve"> </w:t>
      </w:r>
      <w:r>
        <w:t xml:space="preserve">these traces are not decisive in every case, so the name and the morphology can disagree,</w:t>
      </w:r>
      <w:r>
        <w:t xml:space="preserve"> </w:t>
      </w:r>
      <w:r>
        <w:t xml:space="preserve">and the count that would arbitrate is taken downward from C2 — unavailable in any</w:t>
      </w:r>
      <w:r>
        <w:t xml:space="preserve"> </w:t>
      </w:r>
      <w:r>
        <w:t xml:space="preserve">spine-limited acquisition. LSTV is common, reported between 4% and 30% depending on</w:t>
      </w:r>
      <w:r>
        <w:t xml:space="preserve"> </w:t>
      </w:r>
      <w:r>
        <w:t xml:space="preserve">definition, and wrong-level surgery is its most 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from The Cancer Imaging</w:t>
      </w:r>
      <w:r>
        <w:t xml:space="preserve"> </w:t>
      </w:r>
      <w:r>
        <w:t xml:space="preserve">Archive </w:t>
      </w:r>
      <w:r>
        <w:t xml:space="preserve"> </w:t>
      </w:r>
      <w:r>
        <w:t xml:space="preserve">and annotations derived from it. The investigators obtain no</w:t>
      </w:r>
      <w:r>
        <w:t xml:space="preserve"> </w:t>
      </w:r>
      <w:r>
        <w:t xml:space="preserve">identifiable private information and have no interaction with the individuals imaged, so the</w:t>
      </w:r>
      <w:r>
        <w:t xml:space="preserve"> </w:t>
      </w:r>
      <w:r>
        <w:t xml:space="preserve">activity does not meet the definition of human participant research under 45 CFR 46.102. A</w:t>
      </w:r>
      <w:r>
        <w:t xml:space="preserve"> </w:t>
      </w:r>
      <w:r>
        <w:t xml:space="preserve">determination to that effect has been submitted to the authors’ institutional</w:t>
      </w:r>
      <w:r>
        <w:t xml:space="preserve"> </w:t>
      </w:r>
      <w:r>
        <w:t xml:space="preserve">Review Board.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2026-09-03T12:50:22Z</dcterms:created>
  <dcterms:modified xsi:type="dcterms:W3CDTF">2026-09-03T12:50:22Z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