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Multiview Radiographic Fracture Detection with Correct Anatomic Naming</w:t>
      </w:r>
    </w:p>
    <w:p>
      <w:pPr>
        <w:pStyle w:val="Subtitle"/>
      </w:pPr>
      <w:r>
        <w:t xml:space="preserve">Research proposal — Detroit Medical Center / Wayne State University</w:t>
      </w:r>
    </w:p>
    <w:p>
      <w:pPr>
        <w:pStyle w:val="Author"/>
      </w:pPr>
      <w:r>
        <w:t xml:space="preserve">Gregory Schwing, MD, PhD — Department of Surgery</w:t>
      </w:r>
    </w:p>
    <w:p>
      <w:pPr>
        <w:pStyle w:val="Date"/>
      </w:pPr>
      <w:r>
        <w:t xml:space="preserve">September 2026</w:t>
      </w:r>
    </w:p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Commercial AI already tells a radiologist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 bone is broken, and does it well enough to</w:t>
      </w:r>
      <w:r>
        <w:t xml:space="preserve"> </w:t>
      </w:r>
      <w:r>
        <w:t xml:space="preserve">be running in hundreds of hospitals. What it does not do is say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bone, in a way that</w:t>
      </w:r>
      <w:r>
        <w:t xml:space="preserve"> </w:t>
      </w:r>
      <w:r>
        <w:t xml:space="preserve">survives anatomic variation, or</w:t>
      </w:r>
      <w:r>
        <w:t xml:space="preserve"> </w:t>
      </w:r>
      <w:r>
        <w:rPr>
          <w:b/>
          <w:bCs/>
        </w:rPr>
        <w:t xml:space="preserve">outline</w:t>
      </w:r>
      <w:r>
        <w:t xml:space="preserve"> </w:t>
      </w:r>
      <w:r>
        <w:t xml:space="preserve">the fracture, or characterize it.</w:t>
      </w:r>
    </w:p>
    <w:p>
      <w:pPr>
        <w:pStyle w:val="BodyText"/>
      </w:pPr>
      <w:r>
        <w:t xml:space="preserve">This proposal builds a multiview model that produces a structured finding rather than a</w:t>
      </w:r>
      <w:r>
        <w:t xml:space="preserve"> </w:t>
      </w:r>
      <w:r>
        <w:t xml:space="preserve">flag — detection, an outline of the fracture, the named bone or level with side, and whether</w:t>
      </w:r>
      <w:r>
        <w:t xml:space="preserve"> </w:t>
      </w:r>
      <w:r>
        <w:t xml:space="preserve">the fragment is displaced — across the structures a trauma series covers: vertebrae, sacrum,</w:t>
      </w:r>
      <w:r>
        <w:t xml:space="preserve"> </w:t>
      </w:r>
      <w:r>
        <w:t xml:space="preserve">pelvis and hips, ribs, and proximal femur. It is trained on public data, refined on DMC</w:t>
      </w:r>
      <w:r>
        <w:t xml:space="preserve"> </w:t>
      </w:r>
      <w:r>
        <w:t xml:space="preserve">imaging, and is</w:t>
      </w:r>
      <w:r>
        <w:t xml:space="preserve"> </w:t>
      </w:r>
      <w:r>
        <w:rPr>
          <w:b/>
          <w:bCs/>
        </w:rPr>
        <w:t xml:space="preserve">research only</w:t>
      </w:r>
      <w:r>
        <w:t xml:space="preserve">: no output enters the medical record and no clinician sees</w:t>
      </w:r>
      <w:r>
        <w:t xml:space="preserve"> </w:t>
      </w:r>
      <w:r>
        <w:t xml:space="preserve">it during care.</w:t>
      </w:r>
    </w:p>
    <w:bookmarkEnd w:id="9"/>
    <w:bookmarkStart w:id="10" w:name="what-the-system-would-output"/>
    <w:p>
      <w:pPr>
        <w:pStyle w:val="Heading1"/>
      </w:pPr>
      <w:r>
        <w:t xml:space="preserve">What the system would output</w:t>
      </w:r>
    </w:p>
    <w:p>
      <w:pPr>
        <w:pStyle w:val="FirstParagraph"/>
      </w:pPr>
      <w:r>
        <w:t xml:space="preserve">For every radiograph, per finding: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Why it is not already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Fracture present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Solved commercially; included as the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Fracture outline</w:t>
            </w:r>
          </w:p>
        </w:tc>
        <w:tc>
          <w:tcPr/>
          <w:p>
            <w:pPr>
              <w:pStyle w:val="Compact"/>
            </w:pPr>
            <w:r>
              <w:t xml:space="preserve">pixel mask</w:t>
            </w:r>
          </w:p>
        </w:tc>
        <w:tc>
          <w:tcPr/>
          <w:p>
            <w:pPr>
              <w:pStyle w:val="Compact"/>
            </w:pPr>
            <w:r>
              <w:t xml:space="preserve">Cleared products localize with a box, not a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Bone / level name</w:t>
            </w:r>
          </w:p>
        </w:tc>
        <w:tc>
          <w:tcPr/>
          <w:p>
            <w:pPr>
              <w:pStyle w:val="Compact"/>
            </w:pPr>
            <w:r>
              <w:t xml:space="preserve">label + side</w:t>
            </w:r>
          </w:p>
        </w:tc>
        <w:tc>
          <w:tcPr/>
          <w:p>
            <w:pPr>
              <w:pStyle w:val="Compact"/>
            </w:pPr>
            <w:r>
              <w:t xml:space="preserve">The failure mode this project exists to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none / minimal / displaced</w:t>
            </w:r>
          </w:p>
        </w:tc>
        <w:tc>
          <w:tcPr/>
          <w:p>
            <w:pPr>
              <w:pStyle w:val="Compact"/>
            </w:pPr>
            <w:r>
              <w:t xml:space="preserve">Not offered by cleared products; drives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Spinopelvic parameters</w:t>
            </w:r>
          </w:p>
        </w:tc>
        <w:tc>
          <w:tcPr/>
          <w:p>
            <w:pPr>
              <w:pStyle w:val="Compact"/>
            </w:pPr>
            <w:r>
              <w:t xml:space="preserve">PI, PT, SS, LL, PI–LL</w:t>
            </w:r>
          </w:p>
        </w:tc>
        <w:tc>
          <w:tcPr/>
          <w:p>
            <w:pPr>
              <w:pStyle w:val="Compact"/>
            </w:pPr>
            <w:r>
              <w:t xml:space="preserve">Available separately, not alongside the fracture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Anatomic anomaly</w:t>
            </w:r>
          </w:p>
        </w:tc>
        <w:tc>
          <w:tcPr/>
          <w:p>
            <w:pPr>
              <w:pStyle w:val="Compact"/>
            </w:pPr>
            <w:r>
              <w:t xml:space="preserve">L6, lumbar rib, transitional</w:t>
            </w:r>
          </w:p>
        </w:tc>
        <w:tc>
          <w:tcPr/>
          <w:p>
            <w:pPr>
              <w:pStyle w:val="Compact"/>
            </w:pPr>
            <w:r>
              <w:t xml:space="preserve">Not offered anywhere</w:t>
            </w:r>
          </w:p>
        </w:tc>
      </w:tr>
    </w:tbl>
    <w:bookmarkEnd w:id="10"/>
    <w:bookmarkStart w:id="11" w:name="X429c2626597760c02caa7998fd71fff66b9772d"/>
    <w:p>
      <w:pPr>
        <w:pStyle w:val="Heading1"/>
      </w:pPr>
      <w:r>
        <w:t xml:space="preserve">Prior art, and what hospitals are actually running</w:t>
      </w:r>
    </w:p>
    <w:p>
      <w:pPr>
        <w:pStyle w:val="FirstParagraph"/>
      </w:pPr>
      <w:r>
        <w:rPr>
          <w:b/>
          <w:bCs/>
        </w:rPr>
        <w:t xml:space="preserve">Detection is a commercial product.</w:t>
      </w:r>
      <w:r>
        <w:t xml:space="preserve"> </w:t>
      </w:r>
      <w:r>
        <w:t xml:space="preserve">GLEAMER’s BoneView received FDA 510(k) clearance in</w:t>
      </w:r>
      <w:r>
        <w:t xml:space="preserve"> </w:t>
      </w:r>
      <w:r>
        <w:t xml:space="preserve">March 2022 for detection and localization of fractures across the appendicular skeleton, rib</w:t>
      </w:r>
      <w:r>
        <w:t xml:space="preserve"> </w:t>
      </w:r>
      <w:r>
        <w:t xml:space="preserve">cage, and thoracic and lumbar spine. It is deployed in more than 300 institutions across 13</w:t>
      </w:r>
      <w:r>
        <w:t xml:space="preserve"> </w:t>
      </w:r>
      <w:r>
        <w:t xml:space="preserve">countries, is used by over 3,500 radiologists and emergency physicians, and is distributed</w:t>
      </w:r>
      <w:r>
        <w:t xml:space="preserve"> </w:t>
      </w:r>
      <w:r>
        <w:t xml:space="preserve">through Aidoc, Fujifilm, Ferrum Health and Blackford. Reported effects are a 10.4-point gain</w:t>
      </w:r>
      <w:r>
        <w:t xml:space="preserve"> </w:t>
      </w:r>
      <w:r>
        <w:t xml:space="preserve">in fracture-detection sensitivity, a 29% reduction in false negatives, and a 15% reduction in</w:t>
      </w:r>
      <w:r>
        <w:t xml:space="preserve"> </w:t>
      </w:r>
      <w:r>
        <w:t xml:space="preserve">reading time.</w:t>
      </w:r>
      <w:r>
        <w:rPr>
          <w:vertAlign w:val="superscript"/>
        </w:rPr>
        <w:t xml:space="preserve">1</w:t>
      </w:r>
      <w:r>
        <w:t xml:space="preserve"> </w:t>
      </w:r>
      <w:r>
        <w:t xml:space="preserve">Competing detection work reports external-validation AUC of 0.90 (95% CI</w:t>
      </w:r>
      <w:r>
        <w:t xml:space="preserve"> </w:t>
      </w:r>
      <w:r>
        <w:t xml:space="preserve">0.84–0.95) for vertebral compression fracture on radiographs.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b/>
          <w:bCs/>
        </w:rPr>
        <w:t xml:space="preserve">Spinopelvic measurement is also solved.</w:t>
      </w:r>
      <w:r>
        <w:t xml:space="preserve"> </w:t>
      </w:r>
      <w:r>
        <w:t xml:space="preserve">A 2025 meta-analysis of 15 studies and more than</w:t>
      </w:r>
      <w:r>
        <w:t xml:space="preserve"> </w:t>
      </w:r>
      <w:r>
        <w:t xml:space="preserve">10,000 radiographs reports pooled mean absolute error of 4.1° for pelvic incidence, ICC above</w:t>
      </w:r>
      <w:r>
        <w:t xml:space="preserve"> </w:t>
      </w:r>
      <w:r>
        <w:t xml:space="preserve">0.81 against human measurement.</w:t>
      </w:r>
      <w:r>
        <w:rPr>
          <w:vertAlign w:val="superscript"/>
        </w:rPr>
        <w:t xml:space="preserve">3</w:t>
      </w:r>
    </w:p>
    <w:p>
      <w:pPr>
        <w:pStyle w:val="BodyText"/>
      </w:pPr>
      <w:r>
        <w:rPr>
          <w:b/>
          <w:bCs/>
        </w:rPr>
        <w:t xml:space="preserve">Three things remain open, and they are the proposal.</w:t>
      </w:r>
    </w:p>
    <w:p>
      <w:pPr>
        <w:pStyle w:val="BodyText"/>
      </w:pPr>
      <w:r>
        <w:rPr>
          <w:i/>
          <w:iCs/>
        </w:rPr>
        <w:t xml:space="preserve">Naming.</w:t>
      </w:r>
      <w:r>
        <w:t xml:space="preserve"> </w:t>
      </w:r>
      <w:r>
        <w:t xml:space="preserve">A detector reporting a fracture at</w:t>
      </w:r>
      <w:r>
        <w:t xml:space="preserve"> </w:t>
      </w:r>
      <w:r>
        <w:t xml:space="preserve">“L1”</w:t>
      </w:r>
      <w:r>
        <w:t xml:space="preserve"> </w:t>
      </w:r>
      <w:r>
        <w:t xml:space="preserve">is counting, and the count fails where it</w:t>
      </w:r>
      <w:r>
        <w:t xml:space="preserve"> </w:t>
      </w:r>
      <w:r>
        <w:t xml:space="preserve">matters. Lumbosacral transitional vertebrae occur in 4–30% of people depending on</w:t>
      </w:r>
      <w:r>
        <w:t xml:space="preserve"> </w:t>
      </w:r>
      <w:r>
        <w:t xml:space="preserve">definition,</w:t>
      </w:r>
      <w:r>
        <w:rPr>
          <w:vertAlign w:val="superscript"/>
        </w:rPr>
        <w:t xml:space="preserve">4</w:t>
      </w:r>
      <w:r>
        <w:t xml:space="preserve"> </w:t>
      </w:r>
      <w:r>
        <w:t xml:space="preserve">the accepted standard for numeration is whole-spine imaging counted caudally</w:t>
      </w:r>
      <w:r>
        <w:t xml:space="preserve"> </w:t>
      </w:r>
      <w:r>
        <w:t xml:space="preserve">from C2</w:t>
      </w:r>
      <w:r>
        <w:rPr>
          <w:vertAlign w:val="superscript"/>
        </w:rPr>
        <w:t xml:space="preserve">5</w:t>
      </w:r>
      <w:r>
        <w:t xml:space="preserve"> </w:t>
      </w:r>
      <w:r>
        <w:t xml:space="preserve">— which a trauma film cannot provide — and wrong-level spine surgery runs at</w:t>
      </w:r>
      <w:r>
        <w:t xml:space="preserve"> </w:t>
      </w:r>
      <w:r>
        <w:t xml:space="preserve">roughly one in 3,110 procedures with transitional anatomy the usual cause.</w:t>
      </w:r>
      <w:r>
        <w:rPr>
          <w:vertAlign w:val="superscript"/>
        </w:rPr>
        <w:t xml:space="preserve">6</w:t>
      </w:r>
      <w:r>
        <w:t xml:space="preserve"> </w:t>
      </w:r>
      <w:r>
        <w:t xml:space="preserve">The ambiguity</w:t>
      </w:r>
      <w:r>
        <w:t xml:space="preserve"> </w:t>
      </w:r>
      <w:r>
        <w:t xml:space="preserve">is specific: four rib-free lumbar vertebrae may mean an L1 bearing a lumbar rib or an L5</w:t>
      </w:r>
      <w:r>
        <w:t xml:space="preserve"> </w:t>
      </w:r>
      <w:r>
        <w:t xml:space="preserve">assimilated to the sacrum; six may mean a true sixth lumbar vertebra or a T12 with aplastic</w:t>
      </w:r>
      <w:r>
        <w:t xml:space="preserve"> </w:t>
      </w:r>
      <w:r>
        <w:t xml:space="preserve">ribs. The observation is identical within each pair. The same counting problem applies to</w:t>
      </w:r>
      <w:r>
        <w:t xml:space="preserve"> </w:t>
      </w:r>
      <w:r>
        <w:t xml:space="preserve">ribs, and side is routinely mislabeled — quality control on our own CT corpus caught four</w:t>
      </w:r>
      <w:r>
        <w:t xml:space="preserve"> </w:t>
      </w:r>
      <w:r>
        <w:t xml:space="preserve">records carrying a left hip on the patient’s right.</w:t>
      </w:r>
    </w:p>
    <w:p>
      <w:pPr>
        <w:pStyle w:val="BodyText"/>
      </w:pPr>
      <w:r>
        <w:rPr>
          <w:i/>
          <w:iCs/>
        </w:rPr>
        <w:t xml:space="preserve">Outlining.</w:t>
      </w:r>
      <w:r>
        <w:t xml:space="preserve"> </w:t>
      </w:r>
      <w:r>
        <w:t xml:space="preserve">Cleared products draw a box. A boundary is what supports measurement —</w:t>
      </w:r>
      <w:r>
        <w:t xml:space="preserve"> </w:t>
      </w:r>
      <w:r>
        <w:t xml:space="preserve">fragment size, angulation, displacement distance.</w:t>
      </w:r>
    </w:p>
    <w:p>
      <w:pPr>
        <w:pStyle w:val="BodyText"/>
      </w:pPr>
      <w:r>
        <w:rPr>
          <w:i/>
          <w:iCs/>
        </w:rPr>
        <w:t xml:space="preserve">Characterization.</w:t>
      </w:r>
      <w:r>
        <w:t xml:space="preserve"> </w:t>
      </w:r>
      <w:r>
        <w:t xml:space="preserve">Displacement is what changes management, and no cleared product reports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/>
          <w:bCs/>
        </w:rPr>
        <w:t xml:space="preserve">What we already hold.</w:t>
      </w:r>
      <w:r>
        <w:t xml:space="preserve"> </w:t>
      </w:r>
      <w:r>
        <w:t xml:space="preserve">CTSpinoPelvic1K is an openly licensed release of 802 CT records</w:t>
      </w:r>
      <w:r>
        <w:t xml:space="preserve"> </w:t>
      </w:r>
      <w:r>
        <w:t xml:space="preserve">placing spine, sacrum, hips, femora and per-level ribs on one coordinate frame, with explicit</w:t>
      </w:r>
      <w:r>
        <w:t xml:space="preserve"> </w:t>
      </w:r>
      <w:r>
        <w:t xml:space="preserve">classes for a sixth lumbar vertebra, a thirteenth thoracic vertebra, a separately carved</w:t>
      </w:r>
      <w:r>
        <w:t xml:space="preserve"> </w:t>
      </w:r>
      <w:r>
        <w:t xml:space="preserve">first sacral segment, and lumbar ribs.</w:t>
      </w:r>
      <w:r>
        <w:rPr>
          <w:vertAlign w:val="superscript"/>
        </w:rPr>
        <w:t xml:space="preserve">7</w:t>
      </w:r>
      <w:r>
        <w:t xml:space="preserve"> </w:t>
      </w:r>
      <w:r>
        <w:t xml:space="preserve">It was built to test whether local morphology alone</w:t>
      </w:r>
      <w:r>
        <w:t xml:space="preserve"> </w:t>
      </w:r>
      <w:r>
        <w:t xml:space="preserve">can name a structure without the global count, and it ships per-level morphometry and</w:t>
      </w:r>
      <w:r>
        <w:t xml:space="preserve"> </w:t>
      </w:r>
      <w:r>
        <w:t xml:space="preserve">validated spinopelvic parameters.</w:t>
      </w:r>
    </w:p>
    <w:bookmarkEnd w:id="11"/>
    <w:bookmarkStart w:id="12" w:name="public-data-available-for-pretraining"/>
    <w:p>
      <w:pPr>
        <w:pStyle w:val="Heading1"/>
      </w:pPr>
      <w:r>
        <w:t xml:space="preserve">Public data available for pretraining</w:t>
      </w:r>
    </w:p>
    <w:p>
      <w:pPr>
        <w:pStyle w:val="FirstParagraph"/>
      </w:pPr>
      <w:r>
        <w:t xml:space="preserve">No DMC data is needed to build the first working model. The following are openly available</w:t>
      </w:r>
      <w:r>
        <w:t xml:space="preserve"> </w:t>
      </w:r>
      <w:r>
        <w:t xml:space="preserve">and cover the three outputs above: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What it supplies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FracAtlas</w:t>
            </w:r>
            <w:r>
              <w:rPr>
                <w:vertAlign w:val="superscript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4,083 radiographs</w:t>
            </w:r>
          </w:p>
        </w:tc>
        <w:tc>
          <w:tcPr/>
          <w:p>
            <w:pPr>
              <w:pStyle w:val="Compact"/>
            </w:pPr>
            <w:r>
              <w:t xml:space="preserve">Fracture</w:t>
            </w:r>
            <w:r>
              <w:t xml:space="preserve"> </w:t>
            </w:r>
            <w:r>
              <w:rPr>
                <w:b/>
                <w:bCs/>
              </w:rPr>
              <w:t xml:space="preserve">segmentation masks</w:t>
            </w:r>
            <w:r>
              <w:t xml:space="preserve"> </w:t>
            </w:r>
            <w:r>
              <w:t xml:space="preserve">— the outline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GRAZPEDWRI-DX</w:t>
            </w:r>
          </w:p>
        </w:tc>
        <w:tc>
          <w:tcPr/>
          <w:p>
            <w:pPr>
              <w:pStyle w:val="Compact"/>
            </w:pPr>
            <w:r>
              <w:t xml:space="preserve">20,327 images, 6,091 patients</w:t>
            </w:r>
          </w:p>
        </w:tc>
        <w:tc>
          <w:tcPr/>
          <w:p>
            <w:pPr>
              <w:pStyle w:val="Compact"/>
            </w:pPr>
            <w:r>
              <w:t xml:space="preserve">67,771 annotated objects: fractures, implants, boxes and polygons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VinDr-SpineXR</w:t>
            </w:r>
          </w:p>
        </w:tc>
        <w:tc>
          <w:tcPr/>
          <w:p>
            <w:pPr>
              <w:pStyle w:val="Compact"/>
            </w:pPr>
            <w:r>
              <w:t xml:space="preserve">10,469 spine radiographs</w:t>
            </w:r>
          </w:p>
        </w:tc>
        <w:tc>
          <w:tcPr/>
          <w:p>
            <w:pPr>
              <w:pStyle w:val="Compact"/>
            </w:pPr>
            <w:r>
              <w:t xml:space="preserve">Lesion boxes, 13 categories — spine-specific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VinDr-RibCXR</w:t>
            </w:r>
          </w:p>
        </w:tc>
        <w:tc>
          <w:tcPr/>
          <w:p>
            <w:pPr>
              <w:pStyle w:val="Compact"/>
            </w:pPr>
            <w:r>
              <w:t xml:space="preserve">chest radiographs</w:t>
            </w:r>
          </w:p>
        </w:tc>
        <w:tc>
          <w:tcPr/>
          <w:p>
            <w:pPr>
              <w:pStyle w:val="Compact"/>
            </w:pPr>
            <w:r>
              <w:t xml:space="preserve">Individual</w:t>
            </w:r>
            <w:r>
              <w:t xml:space="preserve"> </w:t>
            </w:r>
            <w:r>
              <w:rPr>
                <w:b/>
                <w:bCs/>
              </w:rPr>
              <w:t xml:space="preserve">rib segmentation and labeling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MURA</w:t>
            </w:r>
          </w:p>
        </w:tc>
        <w:tc>
          <w:tcPr/>
          <w:p>
            <w:pPr>
              <w:pStyle w:val="Compact"/>
            </w:pPr>
            <w:r>
              <w:t xml:space="preserve">40,561 radiographs</w:t>
            </w:r>
          </w:p>
        </w:tc>
        <w:tc>
          <w:tcPr/>
          <w:p>
            <w:pPr>
              <w:pStyle w:val="Compact"/>
            </w:pPr>
            <w:r>
              <w:t xml:space="preserve">Large-scale normal/abnormal pretraining (no localization)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RSNA Cervical Spine Fracture</w:t>
            </w:r>
          </w:p>
        </w:tc>
        <w:tc>
          <w:tcPr/>
          <w:p>
            <w:pPr>
              <w:pStyle w:val="Compact"/>
            </w:pPr>
            <w: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Fracture supervision in 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CTSpinoPelvic1K</w:t>
            </w:r>
            <w:r>
              <w:rPr>
                <w:vertAlign w:val="superscript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802 CT</w:t>
            </w:r>
          </w:p>
        </w:tc>
        <w:tc>
          <w:tcPr/>
          <w:p>
            <w:pPr>
              <w:pStyle w:val="Compact"/>
            </w:pPr>
            <w:r>
              <w:t xml:space="preserve">Correct level, rib number and side under variant anatomy</w:t>
            </w:r>
          </w:p>
        </w:tc>
      </w:tr>
    </w:tbl>
    <w:p>
      <w:pPr>
        <w:pStyle w:val="BodyText"/>
      </w:pPr>
      <w:r>
        <w:t xml:space="preserve">The gap none of them fill is the pairing of a radiograph with a correct anatomic name under</w:t>
      </w:r>
      <w:r>
        <w:t xml:space="preserve"> </w:t>
      </w:r>
      <w:r>
        <w:t xml:space="preserve">transitional anatomy — which is why the CT corpus matters: digitally reconstructed</w:t>
      </w:r>
      <w:r>
        <w:t xml:space="preserve"> </w:t>
      </w:r>
      <w:r>
        <w:t xml:space="preserve">radiographs generated from it carry labels that are already correct, supervision unobtainable</w:t>
      </w:r>
      <w:r>
        <w:t xml:space="preserve"> </w:t>
      </w:r>
      <w:r>
        <w:t xml:space="preserve">from radiographs alone, because on a radiograph the correct name is precisely what is</w:t>
      </w:r>
      <w:r>
        <w:t xml:space="preserve"> </w:t>
      </w:r>
      <w:r>
        <w:t xml:space="preserve">unknown.</w:t>
      </w:r>
    </w:p>
    <w:bookmarkEnd w:id="12"/>
    <w:bookmarkStart w:id="13" w:name="what-needs-to-be-done"/>
    <w:p>
      <w:pPr>
        <w:pStyle w:val="Heading1"/>
      </w:pPr>
      <w:r>
        <w:t xml:space="preserve">What needs to be done</w:t>
      </w:r>
    </w:p>
    <w:p>
      <w:pPr>
        <w:pStyle w:val="FirstParagraph"/>
      </w:pPr>
      <w:r>
        <w:rPr>
          <w:b/>
          <w:bCs/>
        </w:rPr>
        <w:t xml:space="preserve">Stage 1 — Public-data model (no DMC data, no approvals needed).</w:t>
      </w:r>
      <w:r>
        <w:t xml:space="preserve"> </w:t>
      </w:r>
      <w:r>
        <w:t xml:space="preserve">Train detection and</w:t>
      </w:r>
      <w:r>
        <w:t xml:space="preserve"> </w:t>
      </w:r>
      <w:r>
        <w:t xml:space="preserve">outline heads on FracAtlas and GRAZPEDWRI-DX; the naming head on DRRs from CTSpinoPelvic1K</w:t>
      </w:r>
      <w:r>
        <w:t xml:space="preserve"> </w:t>
      </w:r>
      <w:r>
        <w:t xml:space="preserve">plus VinDr-RibCXR; the parameter head on the existing CT-derived measurements. Deliverable: a</w:t>
      </w:r>
      <w:r>
        <w:t xml:space="preserve"> </w:t>
      </w:r>
      <w:r>
        <w:t xml:space="preserve">model with published-benchmark performance, built entirely on public data.</w:t>
      </w:r>
    </w:p>
    <w:p>
      <w:pPr>
        <w:pStyle w:val="BodyText"/>
      </w:pPr>
      <w:r>
        <w:rPr>
          <w:b/>
          <w:bCs/>
        </w:rPr>
        <w:t xml:space="preserve">Stage 2 — DMC refinement (research use only).</w:t>
      </w:r>
      <w:r>
        <w:t xml:space="preserve"> </w:t>
      </w:r>
      <w:r>
        <w:t xml:space="preserve">A retrospective, de-identified cohort of</w:t>
      </w:r>
      <w:r>
        <w:t xml:space="preserve"> </w:t>
      </w:r>
      <w:r>
        <w:t xml:space="preserve">DMC trauma radiographs with paired CT from the same encounter. CT settles both fracture and</w:t>
      </w:r>
      <w:r>
        <w:t xml:space="preserve"> </w:t>
      </w:r>
      <w:r>
        <w:t xml:space="preserve">name and becomes the reference standard. Fine-tune for local scanner, protocol and</w:t>
      </w:r>
      <w:r>
        <w:t xml:space="preserve"> </w:t>
      </w:r>
      <w:r>
        <w:t xml:space="preserve">population.</w:t>
      </w:r>
    </w:p>
    <w:p>
      <w:pPr>
        <w:pStyle w:val="BodyText"/>
      </w:pPr>
      <w:r>
        <w:rPr>
          <w:b/>
          <w:bCs/>
        </w:rPr>
        <w:t xml:space="preserve">Stage 3 — Validation and evaluation.</w:t>
      </w:r>
      <w:r>
        <w:t xml:space="preserve"> </w:t>
      </w:r>
      <w:r>
        <w:t xml:space="preserve">Held-out DMC cases never used in training, reported</w:t>
      </w:r>
      <w:r>
        <w:t xml:space="preserve"> </w:t>
      </w:r>
      <w:r>
        <w:t xml:space="preserve">in the terms decisions are made in: sensitivity for injuries missed on the initial film and</w:t>
      </w:r>
      <w:r>
        <w:t xml:space="preserve"> </w:t>
      </w:r>
      <w:r>
        <w:t xml:space="preserve">found on subsequent CT; naming accuracy against CT,</w:t>
      </w:r>
      <w:r>
        <w:t xml:space="preserve"> </w:t>
      </w:r>
      <w:r>
        <w:rPr>
          <w:b/>
          <w:bCs/>
        </w:rPr>
        <w:t xml:space="preserve">stratified into ordinary and</w:t>
      </w:r>
      <w:r>
        <w:rPr>
          <w:b/>
          <w:bCs/>
        </w:rPr>
        <w:t xml:space="preserve"> </w:t>
      </w:r>
      <w:r>
        <w:rPr>
          <w:b/>
          <w:bCs/>
        </w:rPr>
        <w:t xml:space="preserve">transitional anatomy</w:t>
      </w:r>
      <w:r>
        <w:t xml:space="preserve">, since aggregate accuracy hides failure in exactly the 4–30% where the</w:t>
      </w:r>
      <w:r>
        <w:t xml:space="preserve"> </w:t>
      </w:r>
      <w:r>
        <w:t xml:space="preserve">question is hard; outline agreement (Dice) against CT-derived fracture extent; displacement</w:t>
      </w:r>
      <w:r>
        <w:t xml:space="preserve"> </w:t>
      </w:r>
      <w:r>
        <w:t xml:space="preserve">against the dictated report; spinopelvic parameters against the published error bands.</w:t>
      </w:r>
      <w:r>
        <w:rPr>
          <w:vertAlign w:val="superscript"/>
        </w:rPr>
        <w:t xml:space="preserve">3</w:t>
      </w:r>
    </w:p>
    <w:p>
      <w:pPr>
        <w:pStyle w:val="BodyText"/>
      </w:pPr>
      <w:r>
        <w:rPr>
          <w:i/>
          <w:iCs/>
        </w:rPr>
        <w:t xml:space="preserve">Scope note: the CT corpus reaches the axial skeleton, hips and proximal femur. Long bones</w:t>
      </w:r>
      <w:r>
        <w:rPr>
          <w:i/>
          <w:iCs/>
        </w:rPr>
        <w:t xml:space="preserve"> </w:t>
      </w:r>
      <w:r>
        <w:rPr>
          <w:i/>
          <w:iCs/>
        </w:rPr>
        <w:t xml:space="preserve">below the femur would need a separate imaging source and are a later extension.</w:t>
      </w:r>
    </w:p>
    <w:bookmarkEnd w:id="13"/>
    <w:bookmarkStart w:id="14" w:name="regulatory-and-institutional-pathway"/>
    <w:p>
      <w:pPr>
        <w:pStyle w:val="Heading1"/>
      </w:pPr>
      <w:r>
        <w:t xml:space="preserve">Regulatory and institutional pathway</w:t>
      </w:r>
    </w:p>
    <w:p>
      <w:pPr>
        <w:pStyle w:val="FirstParagraph"/>
      </w:pPr>
      <w:r>
        <w:rPr>
          <w:b/>
          <w:bCs/>
        </w:rPr>
        <w:t xml:space="preserve">This is research, not clinical use, and the distinction is deliberate.</w:t>
      </w:r>
      <w:r>
        <w:t xml:space="preserve"> </w:t>
      </w:r>
      <w:r>
        <w:t xml:space="preserve">All analysis is</w:t>
      </w:r>
      <w:r>
        <w:t xml:space="preserve"> </w:t>
      </w:r>
      <w:r>
        <w:t xml:space="preserve">retrospective on completed encounters. No output is placed in the medical record, returned to</w:t>
      </w:r>
      <w:r>
        <w:t xml:space="preserve"> </w:t>
      </w:r>
      <w:r>
        <w:t xml:space="preserve">a treating clinician, or used in any care decision. A model used this way is not a medical</w:t>
      </w:r>
      <w:r>
        <w:t xml:space="preserve"> </w:t>
      </w:r>
      <w:r>
        <w:t xml:space="preserve">device; prospective use at the point of care would be, and is explicitly out of scope.</w:t>
      </w:r>
    </w:p>
    <w:p>
      <w:pPr>
        <w:pStyle w:val="BodyText"/>
      </w:pPr>
      <w:r>
        <w:rPr>
          <w:b/>
          <w:bCs/>
        </w:rPr>
        <w:t xml:space="preserve">IRB — this study requires approval, and that is not the pathway our existing work used.</w:t>
      </w:r>
      <w:r>
        <w:t xml:space="preserve"> </w:t>
      </w:r>
      <w:r>
        <w:t xml:space="preserve">The CTSpinoPelvic1K dataset work received a Non-Human Participant Research determination</w:t>
      </w:r>
      <w:r>
        <w:t xml:space="preserve"> </w:t>
      </w:r>
      <w:r>
        <w:t xml:space="preserve">(WSU IRB HPR 2026-269, 2 September 2026) because it is built entirely from publicly released,</w:t>
      </w:r>
      <w:r>
        <w:t xml:space="preserve"> </w:t>
      </w:r>
      <w:r>
        <w:t xml:space="preserve">already de-identified imaging; that letter itself notes that changes to the study plan may</w:t>
      </w:r>
      <w:r>
        <w:t xml:space="preserve"> </w:t>
      </w:r>
      <w:r>
        <w:t xml:space="preserve">affect the determination.</w:t>
      </w:r>
      <w: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proposal is categorically different: it draws imaging and reports from DMC patients’ own</w:t>
      </w:r>
      <w:r>
        <w:rPr>
          <w:b/>
          <w:bCs/>
        </w:rPr>
        <w:t xml:space="preserve"> </w:t>
      </w:r>
      <w:r>
        <w:rPr>
          <w:b/>
          <w:bCs/>
        </w:rPr>
        <w:t xml:space="preserve">records, which is human subjects research and requires IRB review and approval.</w:t>
      </w:r>
      <w:r>
        <w:t xml:space="preserve"> </w:t>
      </w:r>
      <w:r>
        <w:t xml:space="preserve">That the</w:t>
      </w:r>
      <w:r>
        <w:t xml:space="preserve"> </w:t>
      </w:r>
      <w:r>
        <w:t xml:space="preserve">data is de-identified before analysis does not change it, because assembling the cohort</w:t>
      </w:r>
      <w:r>
        <w:t xml:space="preserve"> </w:t>
      </w:r>
      <w:r>
        <w:t xml:space="preserve">requires reaching identifiers in the first place.</w:t>
      </w:r>
    </w:p>
    <w:p>
      <w:pPr>
        <w:pStyle w:val="BodyText"/>
      </w:pPr>
      <w:r>
        <w:t xml:space="preserve">A full protocol will therefore be submitted to the WSU IRB (irb.wayne.edu, 313-577-1628).</w:t>
      </w:r>
      <w:r>
        <w:t xml:space="preserve"> </w:t>
      </w:r>
      <w:r>
        <w:t xml:space="preserve">Retrospective review of records collected for clinical purposes is commonly eligible for</w:t>
      </w:r>
      <w:r>
        <w:t xml:space="preserve"> </w:t>
      </w:r>
      <w:r>
        <w:t xml:space="preserve">expedited review, and studies of this design commonly request a waiver of informed consent</w:t>
      </w:r>
      <w:r>
        <w:t xml:space="preserve"> </w:t>
      </w:r>
      <w:r>
        <w:t xml:space="preserve">and a HIPAA waiver of authorization — but the review category and the waivers are the IRB’s</w:t>
      </w:r>
      <w:r>
        <w:t xml:space="preserve"> </w:t>
      </w:r>
      <w:r>
        <w:t xml:space="preserve">determination to make, and are named here as what will be requested rather than what applies.</w:t>
      </w:r>
      <w:r>
        <w:t xml:space="preserve"> </w:t>
      </w:r>
      <w:r>
        <w:t xml:space="preserve">De-identification and DICOM header scrubbing occur under the approved protocol, before any</w:t>
      </w:r>
      <w:r>
        <w:t xml:space="preserve"> </w:t>
      </w:r>
      <w:r>
        <w:t xml:space="preserve">imaging is used for model development.</w:t>
      </w:r>
    </w:p>
    <w:p>
      <w:pPr>
        <w:pStyle w:val="BodyText"/>
      </w:pPr>
      <w:r>
        <w:rPr>
          <w:b/>
          <w:bCs/>
        </w:rPr>
        <w:t xml:space="preserve">Two approvals, not one.</w:t>
      </w:r>
      <w:r>
        <w:t xml:space="preserve"> </w:t>
      </w:r>
      <w:r>
        <w:t xml:space="preserve">The determination letter for our existing work states that</w:t>
      </w:r>
      <w:r>
        <w:t xml:space="preserve"> </w:t>
      </w:r>
      <w:r>
        <w:t xml:space="preserve">projects must obtain support from any unaffiliated institution involved, and names DMC among</w:t>
      </w:r>
      <w:r>
        <w:t xml:space="preserve"> </w:t>
      </w:r>
      <w:r>
        <w:t xml:space="preserve">the applicable affiliates.</w:t>
      </w:r>
      <w:r>
        <w:t xml:space="preserve"> </w:t>
      </w:r>
      <w:r>
        <w:rPr>
          <w:b/>
          <w:bCs/>
        </w:rPr>
        <w:t xml:space="preserve">DMC authorization is therefore a separate approval from Wayne</w:t>
      </w:r>
      <w:r>
        <w:rPr>
          <w:b/>
          <w:bCs/>
        </w:rPr>
        <w:t xml:space="preserve"> </w:t>
      </w:r>
      <w:r>
        <w:rPr>
          <w:b/>
          <w:bCs/>
        </w:rPr>
        <w:t xml:space="preserve">State’s</w:t>
      </w:r>
      <w:r>
        <w:t xml:space="preserve">, and both are needed before imaging moves. The same letter notes that work touching</w:t>
      </w:r>
      <w:r>
        <w:t xml:space="preserve"> </w:t>
      </w:r>
      <w:r>
        <w:t xml:space="preserve">identifiable PHI must adhere to HIPAA regardless of the human-participant question and may</w:t>
      </w:r>
      <w:r>
        <w:t xml:space="preserve"> </w:t>
      </w:r>
      <w:r>
        <w:t xml:space="preserve">require authorization from the covered entity’s privacy officer.</w:t>
      </w:r>
    </w:p>
    <w:p>
      <w:pPr>
        <w:pStyle w:val="BodyText"/>
      </w:pPr>
      <w:r>
        <w:rPr>
          <w:b/>
          <w:bCs/>
        </w:rPr>
        <w:t xml:space="preserve">AI platform authorization — the step most people miss.</w:t>
      </w:r>
      <w:r>
        <w:t xml:space="preserve"> </w:t>
      </w:r>
      <w:r>
        <w:t xml:space="preserve">The determination letter issued</w:t>
      </w:r>
      <w:r>
        <w:t xml:space="preserve"> </w:t>
      </w:r>
      <w:r>
        <w:t xml:space="preserve">for our existing dataset work carries a condition that will apply here too and is easy to</w:t>
      </w:r>
      <w:r>
        <w:t xml:space="preserve"> </w:t>
      </w:r>
      <w:r>
        <w:t xml:space="preserve">overlook:</w:t>
      </w:r>
      <w:r>
        <w:t xml:space="preserve"> </w:t>
      </w:r>
      <w:r>
        <w:rPr>
          <w:i/>
          <w:iCs/>
        </w:rPr>
        <w:t xml:space="preserve">“for the use of AI platforms in research,</w:t>
      </w:r>
      <w:r>
        <w:rPr>
          <w:i/>
          <w:iCs/>
        </w:rPr>
        <w:t xml:space="preserve"> </w:t>
      </w:r>
      <w:r>
        <w:rPr>
          <w:i/>
          <w:iCs/>
        </w:rPr>
        <w:t xml:space="preserve">please consult with C&amp;IT regarding authorization to use external software.”</w:t>
      </w:r>
      <w:r>
        <w:t xml:space="preserve"> </w:t>
      </w:r>
      <w:r>
        <w:t xml:space="preserve">The route is the</w:t>
      </w:r>
      <w:r>
        <w:t xml:space="preserve"> </w:t>
      </w:r>
      <w:r>
        <w:t xml:space="preserve">Academic Research Technology team at</w:t>
      </w:r>
      <w:r>
        <w:t xml:space="preserve"> </w:t>
      </w:r>
      <w:r>
        <w:rPr>
          <w:b/>
          <w:bCs/>
        </w:rPr>
        <w:t xml:space="preserve">services@wayne.edu</w:t>
      </w:r>
      <w:r>
        <w:t xml:space="preserve">. This is worth resolving early,</w:t>
      </w:r>
      <w:r>
        <w:t xml:space="preserve"> </w:t>
      </w:r>
      <w:r>
        <w:t xml:space="preserve">and it argues for training on</w:t>
      </w:r>
      <w:r>
        <w:t xml:space="preserve"> </w:t>
      </w:r>
      <w:r>
        <w:rPr>
          <w:b/>
          <w:bCs/>
        </w:rPr>
        <w:t xml:space="preserve">WSU-managed compute</w:t>
      </w:r>
      <w:r>
        <w:t xml:space="preserve"> </w:t>
      </w:r>
      <w:r>
        <w:t xml:space="preserve">rather than commercial cloud or external</w:t>
      </w:r>
      <w:r>
        <w:t xml:space="preserve"> </w:t>
      </w:r>
      <w:r>
        <w:t xml:space="preserve">model APIs — doing so keeps the data inside the institution and avoids the external-software</w:t>
      </w:r>
      <w:r>
        <w:t xml:space="preserve"> </w:t>
      </w:r>
      <w:r>
        <w:t xml:space="preserve">authorization question entirely.</w:t>
      </w:r>
    </w:p>
    <w:bookmarkEnd w:id="14"/>
    <w:bookmarkStart w:id="15" w:name="data-handling-and-computing-environment"/>
    <w:p>
      <w:pPr>
        <w:pStyle w:val="Heading1"/>
      </w:pPr>
      <w:r>
        <w:t xml:space="preserve">Data handling and computing environment</w:t>
      </w:r>
    </w:p>
    <w:p>
      <w:pPr>
        <w:pStyle w:val="FirstParagraph"/>
      </w:pPr>
      <w:r>
        <w:rPr>
          <w:b/>
          <w:bCs/>
        </w:rPr>
        <w:t xml:space="preserve">Nothing leaves Wayne State.</w:t>
      </w:r>
      <w:r>
        <w:t xml:space="preserve"> </w:t>
      </w:r>
      <w:r>
        <w:t xml:space="preserve">All imaging is stored on WSU-managed research storage and</w:t>
      </w:r>
      <w:r>
        <w:t xml:space="preserve"> </w:t>
      </w:r>
      <w:r>
        <w:t xml:space="preserve">processed on the WSU high-performance computing cluster (the Grid). No patient imaging is</w:t>
      </w:r>
      <w:r>
        <w:t xml:space="preserve"> </w:t>
      </w:r>
      <w:r>
        <w:t xml:space="preserve">copied to personal machines, personal cloud accounts, commercial cloud compute, or any</w:t>
      </w:r>
      <w:r>
        <w:t xml:space="preserve"> </w:t>
      </w:r>
      <w:r>
        <w:t xml:space="preserve">third-party model or inference API. Models are open-weight and trained locally, so there is</w:t>
      </w:r>
      <w:r>
        <w:t xml:space="preserve"> </w:t>
      </w:r>
      <w:r>
        <w:t xml:space="preserve">no external software to authorize under the determination letter’s AI-platform condition —</w:t>
      </w:r>
      <w:r>
        <w:t xml:space="preserve"> </w:t>
      </w:r>
      <w:r>
        <w:t xml:space="preserve">the condition is answered by not using one. Academic Research Technology</w:t>
      </w:r>
      <w:r>
        <w:t xml:space="preserve"> </w:t>
      </w:r>
      <w:r>
        <w:t xml:space="preserve">(services@wayne.edu) will be consulted before any tool outside that boundary is added.</w:t>
      </w:r>
    </w:p>
    <w:p>
      <w:pPr>
        <w:pStyle w:val="BodyText"/>
      </w:pPr>
      <w:r>
        <w:rPr>
          <w:b/>
          <w:bCs/>
        </w:rPr>
        <w:t xml:space="preserve">What is already in place.</w:t>
      </w:r>
      <w:r>
        <w:t xml:space="preserve"> </w:t>
      </w:r>
      <w:r>
        <w:t xml:space="preserve">The investigator holds an active Grid account with roughly</w:t>
      </w:r>
      <w:r>
        <w:t xml:space="preserve"> </w:t>
      </w:r>
      <w:r>
        <w:t xml:space="preserve">5 TB of allocated storage and access to NVIDIA H200 NVL GPU nodes under SLURM, on which the</w:t>
      </w:r>
      <w:r>
        <w:t xml:space="preserve"> </w:t>
      </w:r>
      <w:r>
        <w:t xml:space="preserve">CTSpinoPelvic1K pipeline already runs. Stage 1 needs nothing further.</w:t>
      </w:r>
    </w:p>
    <w:p>
      <w:pPr>
        <w:pStyle w:val="BodyText"/>
      </w:pPr>
      <w:r>
        <w:rPr>
          <w:b/>
          <w:bCs/>
        </w:rPr>
        <w:t xml:space="preserve">What will be requested, and from where.</w:t>
      </w:r>
      <w:r>
        <w:t xml:space="preserve"> </w:t>
      </w:r>
      <w:r>
        <w:t xml:space="preserve">C&amp;IT’s Research Technology service catalog</w:t>
      </w:r>
      <w:r>
        <w:t xml:space="preserve"> </w:t>
      </w:r>
      <w:r>
        <w:t xml:space="preserve">(services.wayne.edu → Research technology) is the single intake for the resources this</w:t>
      </w:r>
      <w:r>
        <w:t xml:space="preserve"> </w:t>
      </w:r>
      <w:r>
        <w:t xml:space="preserve">project needs: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What WSU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performance computing</w:t>
            </w:r>
          </w:p>
        </w:tc>
        <w:tc>
          <w:tcPr/>
          <w:p>
            <w:pPr>
              <w:pStyle w:val="Compact"/>
            </w:pPr>
            <w:r>
              <w:t xml:space="preserve">GPU training; existing account</w:t>
            </w:r>
          </w:p>
        </w:tc>
        <w:tc>
          <w:tcPr/>
          <w:p>
            <w:pPr>
              <w:pStyle w:val="Compact"/>
            </w:pPr>
            <w:r>
              <w:t xml:space="preserve">No cost; any WSU faculty, staff or student with an AccessID and a research task; new accounts within two business days; allocation first come, first 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storage request</w:t>
            </w:r>
          </w:p>
        </w:tc>
        <w:tc>
          <w:tcPr/>
          <w:p>
            <w:pPr>
              <w:pStyle w:val="Compact"/>
            </w:pPr>
            <w:r>
              <w:t xml:space="preserve">A group directory for the DMC cohort, sized to the cohort</w:t>
            </w:r>
          </w:p>
        </w:tc>
        <w:tc>
          <w:tcPr/>
          <w:p>
            <w:pPr>
              <w:pStyle w:val="Compact"/>
            </w:pPr>
            <w:r>
              <w:t xml:space="preserve">Quota checked with</w:t>
            </w:r>
            <w:r>
              <w:t xml:space="preserve"> </w:t>
            </w:r>
            <w:r>
              <w:rPr>
                <w:rStyle w:val="VerbatimChar"/>
              </w:rPr>
              <w:t xml:space="preserve">wsuquota</w:t>
            </w:r>
            <w:r>
              <w:t xml:space="preserve">; additional space requested in GB; Panasas tiers, Tier 1 backed up for two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consulting</w:t>
            </w:r>
          </w:p>
        </w:tc>
        <w:tc>
          <w:tcPr/>
          <w:p>
            <w:pPr>
              <w:pStyle w:val="Compact"/>
            </w:pPr>
            <w:r>
              <w:t xml:space="preserve">Confirming the storage tier and any control needed for the cohort</w:t>
            </w:r>
          </w:p>
        </w:tc>
        <w:tc>
          <w:tcPr/>
          <w:p>
            <w:pPr>
              <w:pStyle w:val="Compact"/>
            </w:pPr>
            <w:r>
              <w:t xml:space="preserve">Advisory; also the stated route for grant-support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data request</w:t>
            </w:r>
          </w:p>
        </w:tc>
        <w:tc>
          <w:tcPr/>
          <w:p>
            <w:pPr>
              <w:pStyle w:val="Compact"/>
            </w:pPr>
            <w:r>
              <w:t xml:space="preserve">If DMC imaging is delivered through a WSU broker rather than directly</w:t>
            </w:r>
          </w:p>
        </w:tc>
        <w:tc>
          <w:tcPr/>
          <w:p>
            <w:pPr>
              <w:pStyle w:val="Compact"/>
            </w:pPr>
            <w:r>
              <w:t xml:space="preserve">Form-based</w:t>
            </w:r>
          </w:p>
        </w:tc>
      </w:tr>
    </w:tbl>
    <w:p>
      <w:pPr>
        <w:pStyle w:val="BodyText"/>
      </w:pPr>
      <w:r>
        <w:t xml:space="preserve">The catalog states no lead times beyond account creation, so the storage request will be</w:t>
      </w:r>
      <w:r>
        <w:t xml:space="preserve"> </w:t>
      </w:r>
      <w:r>
        <w:t xml:space="preserve">filed as soon as the cohort size is known rather than when the imaging is ready to move.</w:t>
      </w:r>
    </w:p>
    <w:p>
      <w:pPr>
        <w:pStyle w:val="BodyText"/>
      </w:pPr>
      <w:r>
        <w:rPr>
          <w:b/>
          <w:bCs/>
        </w:rPr>
        <w:t xml:space="preserve">The one thing WSU does not document, and how the design makes it moot.</w:t>
      </w:r>
      <w:r>
        <w:t xml:space="preserve"> </w:t>
      </w:r>
      <w:r>
        <w:t xml:space="preserve">No public WSU</w:t>
      </w:r>
      <w:r>
        <w:t xml:space="preserve"> </w:t>
      </w:r>
      <w:r>
        <w:t xml:space="preserve">page states whether identifiable PHI may be placed on the Grid; the Confidential Information</w:t>
      </w:r>
      <w:r>
        <w:t xml:space="preserve"> </w:t>
      </w:r>
      <w:r>
        <w:t xml:space="preserve">Policy (07-2) classifies PHI and personal information collected under IRB-approved protocols</w:t>
      </w:r>
      <w:r>
        <w:t xml:space="preserve"> </w:t>
      </w:r>
      <w:r>
        <w:t xml:space="preserve">as confidential data with access limited to those whose duties require it, but does not name</w:t>
      </w:r>
      <w:r>
        <w:t xml:space="preserve"> </w:t>
      </w:r>
      <w:r>
        <w:t xml:space="preserve">approved systems. Rather than rely on an answer, the workflow is arranged so the question</w:t>
      </w:r>
      <w:r>
        <w:t xml:space="preserve"> </w:t>
      </w:r>
      <w:r>
        <w:t xml:space="preserve">does not arise:</w:t>
      </w:r>
      <w:r>
        <w:t xml:space="preserve"> </w:t>
      </w:r>
      <w:r>
        <w:rPr>
          <w:b/>
          <w:bCs/>
        </w:rPr>
        <w:t xml:space="preserve">de-identification and DICOM header scrubbing occur before any imaging</w:t>
      </w:r>
      <w:r>
        <w:rPr>
          <w:b/>
          <w:bCs/>
        </w:rPr>
        <w:t xml:space="preserve"> </w:t>
      </w:r>
      <w:r>
        <w:rPr>
          <w:b/>
          <w:bCs/>
        </w:rPr>
        <w:t xml:space="preserve">reaches the Grid.</w:t>
      </w:r>
      <w:r>
        <w:t xml:space="preserve"> </w:t>
      </w:r>
      <w:r>
        <w:t xml:space="preserve">Only de-identified imaging is stored or processed on the cluster. Any</w:t>
      </w:r>
      <w:r>
        <w:t xml:space="preserve"> </w:t>
      </w:r>
      <w:r>
        <w:t xml:space="preserve">linkage between study identifiers and the medical record, if one is retained at all, stays</w:t>
      </w:r>
      <w:r>
        <w:t xml:space="preserve"> </w:t>
      </w:r>
      <w:r>
        <w:t xml:space="preserve">within the DMC environment under the approved protocol and is not needed for model</w:t>
      </w:r>
      <w:r>
        <w:t xml:space="preserve"> </w:t>
      </w:r>
      <w:r>
        <w:t xml:space="preserve">development. The permitted-systems question will still be put to hpc@wayne.edu and the</w:t>
      </w:r>
      <w:r>
        <w:t xml:space="preserve"> </w:t>
      </w:r>
      <w:r>
        <w:t xml:space="preserve">Information Security Office before the first transfer, so that the answer is on record.</w:t>
      </w:r>
    </w:p>
    <w:p>
      <w:pPr>
        <w:pStyle w:val="BodyText"/>
      </w:pPr>
      <w:r>
        <w:rPr>
          <w:b/>
          <w:bCs/>
        </w:rPr>
        <w:t xml:space="preserve">Two stages, different exposure.</w:t>
      </w:r>
      <w:r>
        <w:t xml:space="preserve"> </w:t>
      </w:r>
      <w:r>
        <w:t xml:space="preserve">Stage 1 uses only public datasets and digitally</w:t>
      </w:r>
      <w:r>
        <w:t xml:space="preserve"> </w:t>
      </w:r>
      <w:r>
        <w:t xml:space="preserve">reconstructed radiographs from an already-published, de-identified CT release — no PHI, so</w:t>
      </w:r>
      <w:r>
        <w:t xml:space="preserve"> </w:t>
      </w:r>
      <w:r>
        <w:t xml:space="preserve">the model is built and benchmarked before any DMC data is requested. Only Stages 2 and 3</w:t>
      </w:r>
      <w:r>
        <w:t xml:space="preserve"> </w:t>
      </w:r>
      <w:r>
        <w:t xml:space="preserve">touch institutional imaging, and only in de-identified form.</w:t>
      </w:r>
    </w:p>
    <w:p>
      <w:pPr>
        <w:pStyle w:val="BodyText"/>
      </w:pPr>
      <w:r>
        <w:rPr>
          <w:b/>
          <w:bCs/>
        </w:rPr>
        <w:t xml:space="preserve">Access, retention and publication.</w:t>
      </w:r>
      <w:r>
        <w:t xml:space="preserve"> </w:t>
      </w:r>
      <w:r>
        <w:t xml:space="preserve">Access to the study directory is limited to named</w:t>
      </w:r>
      <w:r>
        <w:t xml:space="preserve"> </w:t>
      </w:r>
      <w:r>
        <w:t xml:space="preserve">study personnel. Retention and destruction follow the approved protocol and institutional</w:t>
      </w:r>
      <w:r>
        <w:t xml:space="preserve"> </w:t>
      </w:r>
      <w:r>
        <w:t xml:space="preserve">policy. What is published is trained model weights and aggregate performance figures, not</w:t>
      </w:r>
      <w:r>
        <w:t xml:space="preserve"> </w:t>
      </w:r>
      <w:r>
        <w:t xml:space="preserve">imaging; any figure showing a radiograph would use a public-dataset case or require separate</w:t>
      </w:r>
      <w:r>
        <w:t xml:space="preserve"> </w:t>
      </w:r>
      <w:r>
        <w:t xml:space="preserve">authorization.</w:t>
      </w:r>
    </w:p>
    <w:bookmarkEnd w:id="15"/>
    <w:bookmarkStart w:id="16" w:name="what-is-being-asked"/>
    <w:p>
      <w:pPr>
        <w:pStyle w:val="Heading1"/>
      </w:pPr>
      <w:r>
        <w:t xml:space="preserve">What is being asked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to a retrospective DMC trauma imaging cohort</w:t>
      </w:r>
      <w:r>
        <w:t xml:space="preserve"> </w:t>
      </w:r>
      <w:r>
        <w:t xml:space="preserve">— paired radiographs and CT from</w:t>
      </w:r>
      <w:r>
        <w:t xml:space="preserve"> </w:t>
      </w:r>
      <w:r>
        <w:t xml:space="preserve">the same encounter — under an approved IRB protocol.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Clinical framing and endpoint selection:</w:t>
      </w:r>
      <w:r>
        <w:t xml:space="preserve"> </w:t>
      </w:r>
      <w:r>
        <w:t xml:space="preserve">which outputs would change a decision, and at</w:t>
      </w:r>
      <w:r>
        <w:t xml:space="preserve"> </w:t>
      </w:r>
      <w:r>
        <w:t xml:space="preserve">what operating point a missed injury is worse than a false alarm.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Co-investigator standing</w:t>
      </w:r>
      <w:r>
        <w:t xml:space="preserve">, and guidance on where such a tool could eventually fit if the</w:t>
      </w:r>
      <w:r>
        <w:t xml:space="preserve"> </w:t>
      </w:r>
      <w:r>
        <w:t xml:space="preserve">research phase justified a clinical evaluation.</w:t>
      </w:r>
    </w:p>
    <w:p>
      <w:pPr>
        <w:pStyle w:val="FirstParagraph"/>
      </w:pPr>
      <w:r>
        <w:t xml:space="preserve">Radiological adjudication is covered by two radiology collaborators supporting the existing</w:t>
      </w:r>
      <w:r>
        <w:t xml:space="preserve"> </w:t>
      </w:r>
      <w:r>
        <w:t xml:space="preserve">dataset work; no reading burden falls on the trauma service.</w:t>
      </w:r>
    </w:p>
    <w:p>
      <w:pPr>
        <w:pStyle w:val="BodyText"/>
      </w:pPr>
      <w:r>
        <w:rPr>
          <w:i/>
          <w:iCs/>
        </w:rPr>
        <w:t xml:space="preserve">[Cohort size, date range, scope, effort and authorship to be discussed.]</w:t>
      </w:r>
    </w:p>
    <w:bookmarkEnd w:id="16"/>
    <w:bookmarkStart w:id="18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GLEAMER BoneView: FDA 510(k) clearance, March 2022; deployment and reader-study figures as</w:t>
      </w:r>
      <w:r>
        <w:t xml:space="preserve"> </w:t>
      </w:r>
      <w:r>
        <w:t xml:space="preserve">reported by the manufacturer and trade press.</w:t>
      </w:r>
      <w:r>
        <w:t xml:space="preserve"> </w:t>
      </w:r>
      <w:hyperlink r:id="rId17">
        <w:r>
          <w:rPr>
            <w:rStyle w:val="Hyperlink"/>
          </w:rPr>
          <w:t xml:space="preserve">https://www.gleamer.ai</w:t>
        </w:r>
      </w:hyperlink>
    </w:p>
    <w:p>
      <w:pPr>
        <w:pStyle w:val="Compact"/>
        <w:numPr>
          <w:ilvl w:val="0"/>
          <w:numId w:val="1002"/>
        </w:numPr>
      </w:pPr>
      <w:r>
        <w:t xml:space="preserve">Zhang H, Xu R, Guo X, et al. Deep learning-based automated high-accuracy location and</w:t>
      </w:r>
      <w:r>
        <w:t xml:space="preserve"> </w:t>
      </w:r>
      <w:r>
        <w:t xml:space="preserve">identification of fresh vertebral compression fractures from spinal radiographs: a</w:t>
      </w:r>
      <w:r>
        <w:t xml:space="preserve"> </w:t>
      </w:r>
      <w:r>
        <w:t xml:space="preserve">multicenter cohort study.</w:t>
      </w:r>
      <w:r>
        <w:t xml:space="preserve"> </w:t>
      </w:r>
      <w:r>
        <w:rPr>
          <w:i/>
          <w:iCs/>
        </w:rPr>
        <w:t xml:space="preserve">Front Bioeng Biotechnol.</w:t>
      </w:r>
      <w:r>
        <w:t xml:space="preserve"> </w:t>
      </w:r>
      <w:r>
        <w:t xml:space="preserve">2024;12:1397003.</w:t>
      </w:r>
      <w:r>
        <w:t xml:space="preserve"> </w:t>
      </w:r>
      <w:r>
        <w:t xml:space="preserve">doi:10.3389/fbioe.2024.1397003</w:t>
      </w:r>
    </w:p>
    <w:p>
      <w:pPr>
        <w:pStyle w:val="Compact"/>
        <w:numPr>
          <w:ilvl w:val="0"/>
          <w:numId w:val="1002"/>
        </w:numPr>
      </w:pPr>
      <w:r>
        <w:t xml:space="preserve">Glaser D, AlMekkawi AK, Caruso JP, et al. Deep learning for automated spinopelvic</w:t>
      </w:r>
      <w:r>
        <w:t xml:space="preserve"> </w:t>
      </w:r>
      <w:r>
        <w:t xml:space="preserve">parameter measurement from radiographs: a meta-analysis.</w:t>
      </w:r>
      <w:r>
        <w:t xml:space="preserve"> </w:t>
      </w:r>
      <w:r>
        <w:rPr>
          <w:i/>
          <w:iCs/>
        </w:rPr>
        <w:t xml:space="preserve">Artif Intell Surg.</w:t>
      </w:r>
      <w:r>
        <w:t xml:space="preserve"> </w:t>
      </w:r>
      <w:r>
        <w:t xml:space="preserve">2025;5:1–15.</w:t>
      </w:r>
      <w:r>
        <w:t xml:space="preserve"> </w:t>
      </w:r>
      <w:r>
        <w:t xml:space="preserve">doi:10.20517/ais.2024.36</w:t>
      </w:r>
    </w:p>
    <w:p>
      <w:pPr>
        <w:pStyle w:val="Compact"/>
        <w:numPr>
          <w:ilvl w:val="0"/>
          <w:numId w:val="1002"/>
        </w:numPr>
      </w:pPr>
      <w:r>
        <w:t xml:space="preserve">Konin GP, Walz DM. Lumbosacral transitional vertebrae: classification, imaging findings,</w:t>
      </w:r>
      <w:r>
        <w:t xml:space="preserve"> </w:t>
      </w:r>
      <w:r>
        <w:t xml:space="preserve">and clinical relevance.</w:t>
      </w:r>
      <w:r>
        <w:t xml:space="preserve"> </w:t>
      </w:r>
      <w:r>
        <w:rPr>
          <w:i/>
          <w:iCs/>
        </w:rPr>
        <w:t xml:space="preserve">AJNR Am J Neuroradiol.</w:t>
      </w:r>
      <w:r>
        <w:t xml:space="preserve"> </w:t>
      </w:r>
      <w:r>
        <w:t xml:space="preserve">2010;31(10):1778–1786.</w:t>
      </w:r>
      <w:r>
        <w:t xml:space="preserve"> </w:t>
      </w:r>
      <w:r>
        <w:t xml:space="preserve">doi:10.3174/ajnr.A2036</w:t>
      </w:r>
    </w:p>
    <w:p>
      <w:pPr>
        <w:pStyle w:val="Compact"/>
        <w:numPr>
          <w:ilvl w:val="0"/>
          <w:numId w:val="1002"/>
        </w:numPr>
      </w:pPr>
      <w:r>
        <w:t xml:space="preserve">Lian J, Levine N, Cho W. A review of lumbosacral transitional vertebrae and associated</w:t>
      </w:r>
      <w:r>
        <w:t xml:space="preserve"> </w:t>
      </w:r>
      <w:r>
        <w:t xml:space="preserve">vertebral numeration.</w:t>
      </w:r>
      <w:r>
        <w:t xml:space="preserve"> </w:t>
      </w:r>
      <w:r>
        <w:rPr>
          <w:i/>
          <w:iCs/>
        </w:rPr>
        <w:t xml:space="preserve">Eur Spine J.</w:t>
      </w:r>
      <w:r>
        <w:t xml:space="preserve"> </w:t>
      </w:r>
      <w:r>
        <w:t xml:space="preserve">2018;27(5):995–1004. doi:10.1007/s00586-018-5554-8</w:t>
      </w:r>
    </w:p>
    <w:p>
      <w:pPr>
        <w:pStyle w:val="Compact"/>
        <w:numPr>
          <w:ilvl w:val="0"/>
          <w:numId w:val="1002"/>
        </w:numPr>
      </w:pPr>
      <w:r>
        <w:t xml:space="preserve">Epstein NE. A perspective on wrong level, wrong side, and wrong site spine surgery.</w:t>
      </w:r>
      <w:r>
        <w:t xml:space="preserve"> </w:t>
      </w:r>
      <w:r>
        <w:rPr>
          <w:i/>
          <w:iCs/>
        </w:rPr>
        <w:t xml:space="preserve">Surg Neurol Int.</w:t>
      </w:r>
      <w:r>
        <w:t xml:space="preserve"> </w:t>
      </w:r>
      <w:r>
        <w:t xml:space="preserve">2021;12:286. doi:10.25259/SNI_402_2021</w:t>
      </w:r>
    </w:p>
    <w:p>
      <w:pPr>
        <w:pStyle w:val="Compact"/>
        <w:numPr>
          <w:ilvl w:val="0"/>
          <w:numId w:val="1002"/>
        </w:numPr>
      </w:pPr>
      <w:r>
        <w:t xml:space="preserve">Schwing G, et al. CTSpinoPelvic1K: spine, pelvis, ribs and femora in one coordinate frame,</w:t>
      </w:r>
      <w:r>
        <w:t xml:space="preserve"> </w:t>
      </w:r>
      <w:r>
        <w:t xml:space="preserve">annotated for lumbosacral transitional anatomy. Zenodo. doi:10.5281/zenodo.22139642</w:t>
      </w:r>
      <w:r>
        <w:t xml:space="preserve"> </w:t>
      </w:r>
      <w:r>
        <w:t xml:space="preserve">(concept; v7 at doi:10.5281/zenodo.22242745). Dataset descriptor in preparation.</w:t>
      </w:r>
    </w:p>
    <w:p>
      <w:pPr>
        <w:pStyle w:val="Compact"/>
        <w:numPr>
          <w:ilvl w:val="0"/>
          <w:numId w:val="1002"/>
        </w:numPr>
      </w:pPr>
      <w:r>
        <w:t xml:space="preserve">Abedeen I, Rahman MA, Prottyasha FZ, et al. FracAtlas: a dataset for fracture</w:t>
      </w:r>
      <w:r>
        <w:t xml:space="preserve"> </w:t>
      </w:r>
      <w:r>
        <w:t xml:space="preserve">classification, localization and segmentation of musculoskeletal radiographs.</w:t>
      </w:r>
      <w:r>
        <w:t xml:space="preserve"> </w:t>
      </w:r>
      <w:r>
        <w:rPr>
          <w:i/>
          <w:iCs/>
        </w:rPr>
        <w:t xml:space="preserve">Sci Data.</w:t>
      </w:r>
      <w:r>
        <w:t xml:space="preserve"> </w:t>
      </w:r>
      <w:r>
        <w:t xml:space="preserve">2023;10:521. doi:10.1038/s41597-023-02432-4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gleamer.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gleamer.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Multiview Radiographic Fracture Detection with Correct Anatomic Naming</dc:title>
  <dc:creator>Gregory Schwing, MD, PhD — Department of Surgery</dc:creator>
  <cp:keywords/>
  <dcterms:created xsi:type="dcterms:W3CDTF">2026-09-03T15:12:30Z</dcterms:created>
  <dcterms:modified xsi:type="dcterms:W3CDTF">2026-09-03T15:12:30Z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Research proposal — Detroit Medical Center / Wayne State University</vt:lpwstr>
  </property>
</Properties>
</file>