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48.pdf" ContentType="application/pdf"/>
  <Override PartName="/word/media/rId30.pdf" ContentType="application/pdf"/>
  <Override PartName="/word/media/rId44.pdf" ContentType="application/pdf"/>
  <Override PartName="/word/media/rId3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2026-09-11</w:t>
      </w:r>
    </w:p>
    <w:p>
      <w:pPr>
        <w:pStyle w:val="AbstractTitle"/>
      </w:pPr>
      <w:r>
        <w:t xml:space="preserve">Abstract</w:t>
      </w:r>
    </w:p>
    <w:p>
      <w:pPr>
        <w:pStyle w:val="Abstract"/>
      </w:pPr>
      <w:r>
        <w:rPr>
          <w:b/>
          <w:bCs/>
        </w:rPr>
        <w:t xml:space="preserve">Purpose:</w:t>
      </w:r>
      <w:r>
        <w:t xml:space="preserve"> </w:t>
      </w:r>
      <w:r>
        <w:t xml:space="preserve">A vertebra at the lumbosacral junction is named by counting. The gold</w:t>
      </w:r>
      <w:r>
        <w:t xml:space="preserve"> </w:t>
      </w:r>
      <w:r>
        <w:t xml:space="preserve">standard counts caudally from C2 on whole-spine imaging </w:t>
      </w:r>
      <w:r>
        <w:t xml:space="preserve">; but in practice, a lumbar surgical case is planned on lumbar-only imaging </w:t>
      </w:r>
      <w:r>
        <w:t xml:space="preserve"> </w:t>
      </w:r>
      <w:r>
        <w:t xml:space="preserve">(T12 to S1) without C2.</w:t>
      </w:r>
      <w:r>
        <w:t xml:space="preserve"> </w:t>
      </w:r>
      <w:r>
        <w:t xml:space="preserve">Abdominopelvic computed tomography (CT) holds that span plus the lowest ribs and pelvis,</w:t>
      </w:r>
      <w:r>
        <w:t xml:space="preserve"> </w:t>
      </w:r>
      <w:r>
        <w:t xml:space="preserve">making it a reasonable stand-in for the preoperative view. When a</w:t>
      </w:r>
      <w:r>
        <w:t xml:space="preserve"> </w:t>
      </w:r>
      <w:r>
        <w:t xml:space="preserve">lumbosacral transitional vertebra (LSTV) alters the count, the local anatomy is ambiguous. Four rib-free vertebrae may be an L1 with a lumbar rib or an</w:t>
      </w:r>
      <w:r>
        <w:t xml:space="preserve"> </w:t>
      </w:r>
      <w:r>
        <w:t xml:space="preserve">L5 assimilated to the sacrum, and six may be a sixth lumbar vertebra, a T12 with aplastic</w:t>
      </w:r>
      <w:r>
        <w:t xml:space="preserve"> </w:t>
      </w:r>
      <w:r>
        <w:t xml:space="preserve">ribs, or a lumbarized S1 </w:t>
      </w:r>
      <w:r>
        <w:t xml:space="preserve">. CTSpinoPelvic1K asks whether local morphology</w:t>
      </w:r>
      <w:r>
        <w:t xml:space="preserve"> </w:t>
      </w:r>
      <w:r>
        <w:t xml:space="preserve">can resolve that ambiguity without the count. Two public label sets already covered this imaging, CTSpine1K’s vertebrae and CTPelvic1K’s pelvis, on the same colonography</w:t>
      </w:r>
      <w:r>
        <w:t xml:space="preserve"> </w:t>
      </w:r>
      <w:r>
        <w:t xml:space="preserve">patients, never joined; this release joins them on one series and annotates the bones</w:t>
      </w:r>
      <w:r>
        <w:t xml:space="preserve"> </w:t>
      </w:r>
      <w:r>
        <w:t xml:space="preserve">neither had. It provides 802 CT records, per-level ribs and femora, lumbar levels</w:t>
      </w:r>
      <w:r>
        <w:t xml:space="preserve"> </w:t>
      </w:r>
      <w:r>
        <w:t xml:space="preserve">anchored on the lowest rib-bearing vertebra and the sacrum, and classes for L6, T13</w:t>
      </w:r>
      <w:r>
        <w:t xml:space="preserve"> </w:t>
      </w:r>
      <w:r>
        <w:t xml:space="preserve">and lumbar ribs, so anomalies are recorded as themselves, not forced into whichever normal count they happen to resemble.</w:t>
      </w:r>
    </w:p>
    <w:p>
      <w:pPr>
        <w:pStyle w:val="Abstract"/>
      </w:pPr>
      <w:r>
        <w:rPr>
          <w:b/>
          <w:bCs/>
        </w:rPr>
        <w:t xml:space="preserve">Acquisition and Validation Methods:</w:t>
      </w:r>
      <w:r>
        <w:t xml:space="preserve"> </w:t>
      </w:r>
      <w:r>
        <w:t xml:space="preserve">Records pair CTSpine1K </w:t>
      </w:r>
      <w:r>
        <w:t xml:space="preserve"> </w:t>
      </w:r>
      <w:r>
        <w:t xml:space="preserve">and CTPelvic1K </w:t>
      </w:r>
      <w:r>
        <w:t xml:space="preserve"> </w:t>
      </w:r>
      <w:r>
        <w:t xml:space="preserve">labels on each patient’s bone-richest acquisition under a VerSe-native scheme.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and, absent a public preoperative lumbar cohort, surgical planning research (377 records prone).</w:t>
      </w:r>
      <w:r>
        <w:t xml:space="preserve"> </w:t>
      </w:r>
      <w:r>
        <w:rPr>
          <w:i/>
          <w:iCs/>
        </w:rPr>
        <w:t xml:space="preserve">Limitations:</w:t>
      </w:r>
      <w:r>
        <w:t xml:space="preserve"> </w:t>
      </w:r>
      <w:r>
        <w:t xml:space="preserve">thoracic ground truth is field-of-view limited; postural</w:t>
      </w:r>
      <w:r>
        <w:t xml:space="preserve"> </w:t>
      </w:r>
      <w:r>
        <w:t xml:space="preserve">angles are supine;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Both disturb identification in two ways at once. First, they change what the border vertebra</w:t>
      </w:r>
      <w:r>
        <w:t xml:space="preserve"> </w:t>
      </w:r>
      <w:r>
        <w:t xml:space="preserve">and its ribs</w:t>
      </w:r>
      <w:r>
        <w:t xml:space="preserve"> </w:t>
      </w:r>
      <w:r>
        <w:rPr>
          <w:i/>
          <w:iCs/>
        </w:rPr>
        <w:t xml:space="preserve">look like</w:t>
      </w:r>
      <w:r>
        <w:t xml:space="preserv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Second, they</w:t>
      </w:r>
      <w:r>
        <w:t xml:space="preserve"> </w:t>
      </w:r>
      <w:r>
        <w:t xml:space="preserve">change</w:t>
      </w:r>
      <w:r>
        <w:t xml:space="preserve"> </w:t>
      </w:r>
      <w:r>
        <w:rPr>
          <w:i/>
          <w:iCs/>
        </w:rPr>
        <w:t xml:space="preserve">how many</w:t>
      </w:r>
      <w:r>
        <w:t xml:space="preserve"> </w:t>
      </w:r>
      <w:r>
        <w:t xml:space="preserve">vertebrae each region contains, eleven or thirteen thoracic and four or six lumbar.</w:t>
      </w:r>
    </w:p>
    <w:p>
      <w:pPr>
        <w:pStyle w:val="BodyText"/>
      </w:pPr>
      <w:r>
        <w:t xml:space="preserve">Either change alone would be tractable, but together they make it difficult to state definitively</w:t>
      </w:r>
      <w:r>
        <w:t xml:space="preserve"> </w:t>
      </w:r>
      <w:r>
        <w:t xml:space="preserve">what any vertebra at these borders</w:t>
      </w:r>
      <w:r>
        <w:t xml:space="preserve"> </w:t>
      </w:r>
      <w:r>
        <w:rPr>
          <w:i/>
          <w:iCs/>
        </w:rPr>
        <w:t xml:space="preserve">is</w:t>
      </w:r>
      <w:r>
        <w:t xml:space="preserve">. Each of those readings actually yields the same count (Fig. </w:t>
      </w:r>
      <w:hyperlink w:anchor="fig:anchors">
        <w:r>
          <w:rPr>
            <w:rStyle w:val="Hyperlink"/>
          </w:rPr>
          <w:t xml:space="preserve">2</w:t>
        </w:r>
      </w:hyperlink>
      <w:r>
        <w:t xml:space="preserve">), and the morphology that would</w:t>
      </w:r>
      <w:r>
        <w:t xml:space="preserve"> </w:t>
      </w:r>
      <w:r>
        <w:t xml:space="preserve">separate them is not decisive to a human reader in every case. Whether it differs</w:t>
      </w:r>
      <w:r>
        <w:t xml:space="preserve"> </w:t>
      </w:r>
      <w:r>
        <w:t xml:space="preserve">enough for a learned classifier to separate them, or at least to assign each reading a probability,</w:t>
      </w:r>
      <w:r>
        <w:t xml:space="preserve"> </w:t>
      </w:r>
      <w:r>
        <w:t xml:space="preserve">is the question this release is built to support. Short of that, what remains is the count</w:t>
      </w:r>
      <w:r>
        <w:t xml:space="preserve"> </w:t>
      </w:r>
      <w:r>
        <w:t xml:space="preserve">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w:t>
      </w:r>
      <w:r>
        <w:t xml:space="preserve">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spine datasets omit the pelvis, pelvic datasets do not number</w:t>
      </w:r>
      <w:r>
        <w:t xml:space="preserve"> </w:t>
      </w:r>
      <w:r>
        <w:t xml:space="preserve">the vertebrae, TotalSegmentator has no class for a sixth lumbar vertebra or for a rib on a</w:t>
      </w:r>
      <w:r>
        <w:t xml:space="preserve"> </w:t>
      </w:r>
      <w:r>
        <w:t xml:space="preserve">lumbar vertebra, and VerSe, the one collection with an L6 class, stops at the sacrum and</w:t>
      </w:r>
      <w:r>
        <w:t xml:space="preserve"> </w:t>
      </w:r>
      <w:r>
        <w:t xml:space="preserve">carries no ribs. None of these collections, then, can record a six-lumbar spine together with both of its</w:t>
      </w:r>
      <w:r>
        <w:t xml:space="preserve"> </w:t>
      </w:r>
      <w:r>
        <w:t xml:space="preserve">borders, and a segmenter trained on them must, when it encounters an enumeration anomaly, shift the</w:t>
      </w:r>
      <w:r>
        <w:t xml:space="preserve"> </w:t>
      </w:r>
      <w:r>
        <w:t xml:space="preserve">whole column by a level or absorb a vertebra into its neighbor. The size of that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The intraoperative side has prior art of its own. LevelCheck registers the intraoperative</w:t>
      </w:r>
      <w:r>
        <w:t xml:space="preserve"> </w:t>
      </w:r>
      <w:r>
        <w:t xml:space="preserve">radiograph to the preoperative CT and projects the CT’s vertebral labels onto</w:t>
      </w:r>
      <w:r>
        <w:t xml:space="preserve"> </w:t>
      </w:r>
      <w:r>
        <w:t xml:space="preserve">it </w:t>
      </w:r>
      <w:r>
        <w:t xml:space="preserve">, but those labels are placed by hand and verified by</w:t>
      </w:r>
      <w:r>
        <w:t xml:space="preserve"> </w:t>
      </w:r>
      <w:r>
        <w:t xml:space="preserve">the surgeon </w:t>
      </w:r>
      <w:r>
        <w:t xml:space="preserve">, so the method assumes a correctly labeled CT and does not supply</w:t>
      </w:r>
      <w:r>
        <w:t xml:space="preserve"> </w:t>
      </w:r>
      <w:r>
        <w:t xml:space="preserve">one. Automating that step for anatomy that itself is anomalous is what a dataset carrying the</w:t>
      </w:r>
      <w:r>
        <w:t xml:space="preserve"> </w:t>
      </w:r>
      <w:r>
        <w:t xml:space="preserve">anomaly classes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 rib borne by a lumbar vertebra. A scheme without those classes simply lacks a class vocabulary</w:t>
      </w:r>
      <w:r>
        <w:t xml:space="preserve"> </w:t>
      </w:r>
      <w:r>
        <w:t xml:space="preserve">expressive enough to describe anatomic anomalies.</w:t>
      </w:r>
    </w:p>
    <w:p>
      <w:pPr>
        <w:pStyle w:val="BodyText"/>
      </w:pPr>
      <w:r>
        <w:t xml:space="preserve">The project began with a surgeon’s question, whether a vertebra can be named from the anatomy in front of the reader, on the images a lumbar surgical case is actually planned on. By guideline those are lumbar-only </w:t>
      </w:r>
      <w:r>
        <w:t xml:space="preserve">;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diaphragm to pelvic floor, so it captures</w:t>
      </w:r>
      <w:r>
        <w:t xml:space="preserve"> </w:t>
      </w:r>
      <w:r>
        <w:t xml:space="preserve">that span with the lowest ribs and the whole pelvis, and lacks C2 exactly as the</w:t>
      </w:r>
      <w:r>
        <w:t xml:space="preserve"> </w:t>
      </w:r>
      <w:r>
        <w:t xml:space="preserve">planning study does.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w:t>
      </w:r>
      <w:r>
        <w:t xml:space="preserve"> </w:t>
      </w:r>
      <w:r>
        <w:t xml:space="preserve">held fixed, scanner effects on a model become measurable rather than confounded. The price</w:t>
      </w:r>
      <w:r>
        <w:t xml:space="preserve"> </w:t>
      </w:r>
      <w:r>
        <w:t xml:space="preserve">is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w:t>
      </w:r>
      <w:r>
        <w:t xml:space="preserve"> </w:t>
      </w:r>
      <w:r>
        <w:t xml:space="preserve">released months apart by an overlapping author group, each annotated the COLONOG</w:t>
      </w:r>
      <w:r>
        <w:t xml:space="preserve"> </w:t>
      </w:r>
      <w:r>
        <w:t xml:space="preserve">collection under radiologist supervision, one the pelvis and the other the vertebrae, on the same patients, yet no one joined them, although the join needs no new imaging and no</w:t>
      </w:r>
      <w:r>
        <w:t xml:space="preserve"> </w:t>
      </w:r>
      <w:r>
        <w:t xml:space="preserve">new radiologist. It is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crosswalk yielded a spine-and-pelvis frame</w:t>
      </w:r>
      <w:r>
        <w:t xml:space="preserve"> </w:t>
      </w:r>
      <w:r>
        <w:t xml:space="preserve">at 802 patients, and the bones neither set had, ribs, femora and hardware, could then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corpus contains C2, so the</w:t>
      </w:r>
      <w:r>
        <w:t xml:space="preserve"> </w:t>
      </w:r>
      <w:r>
        <w:t xml:space="preserve">conventional count cannot be performed, a property of abdominal imaging rather than of the</w:t>
      </w:r>
      <w:r>
        <w:t xml:space="preserve"> </w:t>
      </w:r>
      <w:r>
        <w:t xml:space="preserve">annotation. A thirteenth thoracic vertebra and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segment,</w:t>
      </w:r>
      <w:r>
        <w:t xml:space="preserve"> </w:t>
      </w:r>
      <w:r>
        <w:t xml:space="preserve">usually above five lumbar vertebrae, so the column holds 25 presacral vertebrae; the second</w:t>
      </w:r>
      <w:r>
        <w:t xml:space="preserve"> </w:t>
      </w:r>
      <w:r>
        <w:t xml:space="preserve">is a rudimentary rib on a lumbar-type L1 in a column of the usual 24. Neither is separable by counting at the two borders used here, the last rib-bearing vertebra and the sacrum, because four rib-free vertebrae can fit a lumbar rib, a cranially</w:t>
      </w:r>
      <w:r>
        <w:t xml:space="preserve"> </w:t>
      </w:r>
      <w:r>
        <w:t xml:space="preserve">shifted T13 or an L5 assimilated to the sacrum, and six can fit an aplastic twelfth rib or a</w:t>
      </w:r>
      <w:r>
        <w:t xml:space="preserve"> </w:t>
      </w:r>
      <w:r>
        <w:t xml:space="preserve">sixth lumbar vertebra. A</w:t>
      </w:r>
      <w:r>
        <w:t xml:space="preserve"> </w:t>
      </w:r>
      <w:r>
        <w:rPr>
          <w:i/>
          <w:iCs/>
        </w:rPr>
        <w:t xml:space="preserve">stump rib</w:t>
      </w:r>
      <w:r>
        <w:t xml:space="preserve">, hypoplastic and a cardinal indicator of a</w:t>
      </w:r>
      <w:r>
        <w:t xml:space="preserve"> </w:t>
      </w:r>
      <w:r>
        <w:t xml:space="preserve">thoracolumbar transitional vertebra, is still a rib, so only its length records the</w:t>
      </w:r>
      <w:r>
        <w:t xml:space="preserve"> </w:t>
      </w:r>
      <w:r>
        <w:t xml:space="preserve">anomaly. Rib anomalies travel with the lumbosacral border: on whole-spine CT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corrected where the source was wrong; those labels</w:t>
      </w:r>
      <w:r>
        <w:t xml:space="preserve"> </w:t>
      </w:r>
      <w:r>
        <w:t xml:space="preserve">are the ground truth. In addition, every released measurement is expressed against the two landmarks</w:t>
      </w:r>
      <w:r>
        <w:t xml:space="preserve"> </w:t>
      </w:r>
      <w:r>
        <w:t xml:space="preserve">present in essentially every abdominal scan, the sacrum below and the lowest rib-bearing</w:t>
      </w:r>
      <w:r>
        <w:t xml:space="preserve"> </w:t>
      </w:r>
      <w:r>
        <w:t xml:space="preserve">vertebra above, so that the measurement is positional rather than nominal: a vertebra by how many rib-free</w:t>
      </w:r>
      <w:r>
        <w:t xml:space="preserve"> </w:t>
      </w:r>
      <w:r>
        <w:t xml:space="preserve">vertebrae separate it from the sacrum, a lowest rib by its length as a fraction of the rib</w:t>
      </w:r>
      <w:r>
        <w:t xml:space="preserve"> </w:t>
      </w:r>
      <w:r>
        <w:t xml:space="preserve">above it, a transverse process by its span and its distance from the ala. None of these</w:t>
      </w:r>
      <w:r>
        <w:t xml:space="preserve"> </w:t>
      </w:r>
      <w:r>
        <w:t xml:space="preserve">values shift with the name a reader gives the junction, so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itself the</w:t>
      </w:r>
      <w:r>
        <w:t xml:space="preserve"> </w:t>
      </w:r>
      <w:r>
        <w:t xml:space="preserve">phenotype is decidable locally, and on this corpus it is. Separating T12 from L1 on shape</w:t>
      </w:r>
      <w:r>
        <w:t xml:space="preserve"> </w:t>
      </w:r>
      <w:r>
        <w:t xml:space="preserve">alone gives an area under the curve of 0.990 and 97.3% accuracy over 1485 vertebrae: a</w:t>
      </w:r>
      <w:r>
        <w:t xml:space="preserve"> </w:t>
      </w:r>
      <w:r>
        <w:t xml:space="preserve">logistic regression on five released per-level measures and six ratios between them, each</w:t>
      </w:r>
      <w:r>
        <w:t xml:space="preserve"> </w:t>
      </w:r>
      <w:r>
        <w:t xml:space="preserve">measure divided by the same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6"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Both sources draw part of their imaging from The Cancer Imaging Archive (TCIA) CT</w:t>
      </w:r>
      <w:r>
        <w:t xml:space="preserve"> </w:t>
      </w:r>
      <w:r>
        <w:t xml:space="preserve">colonography collection (COLONOG) </w:t>
      </w:r>
      <w:r>
        <w:t xml:space="preserve">.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meaning one scan prescription and</w:t>
      </w:r>
      <w:r>
        <w:t xml:space="preserve"> </w:t>
      </w:r>
      <w:r>
        <w:t xml:space="preserve">patient preparation for every case, so this release is its COLONOG 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so</w:t>
      </w:r>
      <w:r>
        <w:t xml:space="preserve"> </w:t>
      </w:r>
      <w:r>
        <w:t xml:space="preserve">neither collection recorded which acquisition it had labeled. Turning a patient from supine</w:t>
      </w:r>
      <w:r>
        <w:t xml:space="preserve"> </w:t>
      </w:r>
      <w:r>
        <w:t xml:space="preserve">to prone alters lumbar lordosis and the alignment of each segment against the next, so</w:t>
      </w:r>
      <w:r>
        <w:t xml:space="preserve"> </w:t>
      </w:r>
      <w:r>
        <w:t xml:space="preserve">outlines drawn on one series are the wrong</w:t>
      </w:r>
      <w:r>
        <w:t xml:space="preserve"> </w:t>
      </w:r>
      <w:r>
        <w:rPr>
          <w:i/>
          <w:iCs/>
        </w:rPr>
        <w:t xml:space="preserve">shape</w:t>
      </w:r>
      <w:r>
        <w:t xml:space="preserve"> </w:t>
      </w:r>
      <w:r>
        <w:t xml:space="preserve">for the other and no rigid</w:t>
      </w:r>
      <w:r>
        <w:t xml:space="preserve"> </w:t>
      </w:r>
      <w:r>
        <w:t xml:space="preserve">realignment recovers them. The crosswalk (Fig. </w:t>
      </w:r>
      <w:hyperlink w:anchor="fig:pipeline">
        <w:r>
          <w:rPr>
            <w:rStyle w:val="Hyperlink"/>
          </w:rPr>
          <w:t xml:space="preserve">1</w:t>
        </w:r>
      </w:hyperlink>
      <w:r>
        <w:t xml:space="preserve">) therefore resolves each</w:t>
      </w:r>
      <w:r>
        <w:t xml:space="preserve"> </w:t>
      </w:r>
      <w:r>
        <w:t xml:space="preserve">annotation to a patient and then, within that patient’s volumes, to the series whose bone</w:t>
      </w:r>
      <w:r>
        <w:t xml:space="preserve"> </w:t>
      </w:r>
      <w:r>
        <w:rPr>
          <w:i/>
          <w:iCs/>
        </w:rPr>
        <w:t xml:space="preserve">agrees</w:t>
      </w:r>
      <w:r>
        <w:t xml:space="preserve"> </w:t>
      </w:r>
      <w:r>
        <w:t xml:space="preserve">with it, with candidates thresholded at bone attenuation and scored by</w:t>
      </w:r>
      <w:r>
        <w:t xml:space="preserve"> </w:t>
      </w:r>
      <w:r>
        <w:t xml:space="preserve">overlap with the mask. This step mattered for 351 patients, nearly half the cohort, whose two</w:t>
      </w:r>
      <w:r>
        <w:t xml:space="preserve"> </w:t>
      </w:r>
      <w:r>
        <w:t xml:space="preserve">collections had labeled different acquisitions of the same person; those records are</w:t>
      </w:r>
      <w:r>
        <w:t xml:space="preserve"> </w:t>
      </w:r>
      <w:r>
        <w:t xml:space="preserve">released but held out of any analysis assuming a single posture, since two labeled postures of</w:t>
      </w:r>
      <w:r>
        <w:t xml:space="preserve"> </w:t>
      </w:r>
      <w:r>
        <w:t xml:space="preserve">one patient are a resource rather than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 onto spine-only records is the safe direction, since the sacrum and innominate bones</w:t>
      </w:r>
      <w:r>
        <w:t xml:space="preserve"> </w:t>
      </w:r>
      <w:r>
        <w:t xml:space="preserve">carry no 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because a pseudolabeled spine must commit</w:t>
      </w:r>
      <w:r>
        <w:t xml:space="preserve"> </w:t>
      </w:r>
      <w:r>
        <w:t xml:space="preserve">to a count, and on a transitional vertebra it commits to the commoner reading; those 20</w:t>
      </w:r>
      <w:r>
        <w:t xml:space="preserve"> </w:t>
      </w:r>
      <w:r>
        <w:t xml:space="preserve">records were corrected by hand.</w:t>
      </w:r>
    </w:p>
    <w:bookmarkEnd w:id="14"/>
    <w:bookmarkStart w:id="15"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whatever the anatomy. The</w:t>
      </w:r>
      <w:r>
        <w:t xml:space="preserve"> </w:t>
      </w:r>
      <w:r>
        <w:t xml:space="preserve">rule selected 152 records; 148 were reviewed and corrected, and four</w:t>
      </w:r>
      <w:r>
        <w:t xml:space="preserve"> </w:t>
      </w:r>
      <w:r>
        <w:t xml:space="preserve">were not and are identified in the release. Reviewers were medical students working through  </w:t>
      </w:r>
      <w:r>
        <w:t xml:space="preserve">, trained against</w:t>
      </w:r>
      <w:r>
        <w:t xml:space="preserve"> </w:t>
      </w:r>
      <w:r>
        <w:t xml:space="preserve">a written labeling protocol, with every correction attributed to its annotator. Records passing the rule were not individually inspected;</w:t>
      </w:r>
      <w:r>
        <w:t xml:space="preserve"> </w:t>
      </w:r>
      <w:r>
        <w:t xml:space="preserve">the residual rib–vertebra offsets reported in Sec. </w:t>
      </w:r>
      <w:hyperlink w:anchor="sec:validation">
        <w:r>
          <w:rPr>
            <w:rStyle w:val="Hyperlink"/>
          </w:rPr>
          <w:t xml:space="preserve">2.6</w:t>
        </w:r>
      </w:hyperlink>
      <w:r>
        <w:t xml:space="preserve"> </w:t>
      </w:r>
      <w:r>
        <w:t xml:space="preserve">are the</w:t>
      </w:r>
      <w:r>
        <w:t xml:space="preserve"> </w:t>
      </w:r>
      <w:r>
        <w:t xml:space="preserve">independent check on what the rule missed.</w:t>
      </w:r>
    </w:p>
    <w:bookmarkEnd w:id="15"/>
    <w:bookmarkStart w:id="20"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19" w:name="fig:anchors"/>
    <w:p>
      <w:pPr>
        <w:pStyle w:val="CaptionedFigure"/>
      </w:pPr>
      <w:r>
        <w:drawing>
          <wp:inline>
            <wp:extent cx="5334000" cy="1577405"/>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7405"/>
                    </a:xfrm>
                    <a:prstGeom prst="rect">
                      <a:avLst/>
                    </a:prstGeom>
                    <a:noFill/>
                    <a:ln w="9525">
                      <a:noFill/>
                      <a:headEnd/>
                      <a:tailEnd/>
                    </a:ln>
                  </pic:spPr>
                </pic:pic>
              </a:graphicData>
            </a:graphic>
          </wp:inline>
        </w:drawing>
      </w:r>
    </w:p>
    <w:p>
      <w:pPr>
        <w:pStyle w:val="ImageCaption"/>
      </w:pPr>
      <w:r>
        <w:t xml:space="preserve">The two anchors, from the released labels, aligned on the sacrum. Red, lowest rib-bearing vertebra and</w:t>
      </w:r>
      <w:r>
        <w:t xml:space="preserve"> </w:t>
      </w:r>
      <w:r>
        <w:t xml:space="preserve">its rib; blue, the sacrum; yellow, the rib-free vertebrae between. Cases 0704, 0428, 0094 and 0005, chosen by rule as the most ordinary member of each phenotype (</w:t>
      </w:r>
      <w:r>
        <w:rPr>
          <w:rStyle w:val="VerbatimChar"/>
        </w:rPr>
        <w:t xml:space="preserve">scripts/select_anchor_cases.py</w:t>
      </w:r>
      <w:r>
        <w:t xml:space="preserve">). (b) and (c) both count four. In (b) a long rib sits on L1; in (c) the twelfth ribs are stumps and the segment below the fourth lumbar body is fused to the sacrum (Castellvi IIIb).</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from above, through a rib on L1, and some from below, through a lumbosacral segment fused to the sacrum, in Fig. </w:t>
      </w:r>
      <w:hyperlink w:anchor="fig:anchors">
        <w:r>
          <w:rPr>
            <w:rStyle w:val="Hyperlink"/>
          </w:rPr>
          <w:t xml:space="preserve">2</w:t>
        </w:r>
      </w:hyperlink>
      <w:r>
        <w:t xml:space="preserve">(c) together with stump twelfth ribs; the count alone cannot tell them apart, and the release can because ribs, rib lengths and the lumbosacral junction are all labeled.</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0"/>
    <w:bookmarkStart w:id="24"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https://huggingface.co/OpenSpineConsortium/spinopelvic-seg-checkpoints</w:t>
        </w:r>
      </w:hyperlink>
      <w:r>
        <w:t xml:space="preserve">, trained with</w:t>
      </w:r>
      <w:r>
        <w:t xml:space="preserve"> </w:t>
      </w:r>
      <w:hyperlink r:id="rId22">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3">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drafting and editing the manuscript text and with writing the analysis and</w:t>
      </w:r>
      <w:r>
        <w:t xml:space="preserve"> </w:t>
      </w:r>
      <w:r>
        <w:t xml:space="preserve">figure code, all under author review. It was not used to generate, annotate or interpret</w:t>
      </w:r>
      <w:r>
        <w:t xml:space="preserve"> </w:t>
      </w:r>
      <w:r>
        <w:t xml:space="preserve">imaging data; every number reported here is computed by the released code from the</w:t>
      </w:r>
      <w:r>
        <w:t xml:space="preserve"> </w:t>
      </w:r>
      <w:r>
        <w:t xml:space="preserve">released volumes.</w:t>
      </w:r>
    </w:p>
    <w:bookmarkEnd w:id="24"/>
    <w:bookmarkStart w:id="25"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5"/>
    <w:bookmarkStart w:id="27"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6"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6"/>
    <w:bookmarkEnd w:id="27"/>
    <w:bookmarkStart w:id="35"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8"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8"/>
    <w:bookmarkStart w:id="29"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9"/>
    <w:bookmarkStart w:id="34"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3" w:name="fig:hardware"/>
    <w:p>
      <w:pPr>
        <w:pStyle w:val="CaptionedFigure"/>
      </w:pPr>
      <w:r>
        <w:drawing>
          <wp:inline>
            <wp:extent cx="5334000" cy="1182943"/>
            <wp:effectExtent b="0" l="0" r="0" t="0"/>
            <wp:docPr descr="" title="" id="31" name="Picture"/>
            <a:graphic>
              <a:graphicData uri="http://schemas.openxmlformats.org/drawingml/2006/picture">
                <pic:pic>
                  <pic:nvPicPr>
                    <pic:cNvPr descr="figures/fig_hardware.pdf" id="32" name="Picture"/>
                    <pic:cNvPicPr>
                      <a:picLocks noChangeArrowheads="1" noChangeAspect="1"/>
                    </pic:cNvPicPr>
                  </pic:nvPicPr>
                  <pic:blipFill>
                    <a:blip r:embed="rId30"/>
                    <a:stretch>
                      <a:fillRect/>
                    </a:stretch>
                  </pic:blipFill>
                  <pic:spPr bwMode="auto">
                    <a:xfrm>
                      <a:off x="0" y="0"/>
                      <a:ext cx="5334000" cy="1182943"/>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3"/>
    <w:bookmarkEnd w:id="34"/>
    <w:bookmarkEnd w:id="35"/>
    <w:bookmarkEnd w:id="36"/>
    <w:bookmarkStart w:id="38"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7"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7"/>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8"/>
    <w:bookmarkStart w:id="43"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2</w:t>
        </w:r>
      </w:hyperlink>
      <w:r>
        <w:t xml:space="preserve"> </w:t>
      </w:r>
      <w:r>
        <w:t xml:space="preserve">places against two series.</w:t>
      </w:r>
    </w:p>
    <w:bookmarkStart w:id="42" w:name="fig:validation"/>
    <w:p>
      <w:pPr>
        <w:pStyle w:val="CaptionedFigure"/>
      </w:pPr>
      <w:r>
        <w:drawing>
          <wp:inline>
            <wp:extent cx="5334000" cy="1125715"/>
            <wp:effectExtent b="0" l="0" r="0" t="0"/>
            <wp:docPr descr="" title="" id="40" name="Picture"/>
            <a:graphic>
              <a:graphicData uri="http://schemas.openxmlformats.org/drawingml/2006/picture">
                <pic:pic>
                  <pic:nvPicPr>
                    <pic:cNvPr descr="figures/fig_validation.pdf" id="41" name="Picture"/>
                    <pic:cNvPicPr>
                      <a:picLocks noChangeArrowheads="1" noChangeAspect="1"/>
                    </pic:cNvPicPr>
                  </pic:nvPicPr>
                  <pic:blipFill>
                    <a:blip r:embed="rId39"/>
                    <a:stretch>
                      <a:fillRect/>
                    </a:stretch>
                  </pic:blipFill>
                  <pic:spPr bwMode="auto">
                    <a:xfrm>
                      <a:off x="0" y="0"/>
                      <a:ext cx="5334000" cy="1125715"/>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2"/>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3"/>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7" w:name="fig:levelatlas"/>
    <w:p>
      <w:pPr>
        <w:pStyle w:val="CaptionedFigure"/>
      </w:pPr>
      <w:r>
        <w:drawing>
          <wp:inline>
            <wp:extent cx="5334000" cy="1204110"/>
            <wp:effectExtent b="0" l="0" r="0" t="0"/>
            <wp:docPr descr="" title="" id="45" name="Picture"/>
            <a:graphic>
              <a:graphicData uri="http://schemas.openxmlformats.org/drawingml/2006/picture">
                <pic:pic>
                  <pic:nvPicPr>
                    <pic:cNvPr descr="figures/fig_levelatlas.pdf" id="46" name="Picture"/>
                    <pic:cNvPicPr>
                      <a:picLocks noChangeArrowheads="1" noChangeAspect="1"/>
                    </pic:cNvPicPr>
                  </pic:nvPicPr>
                  <pic:blipFill>
                    <a:blip r:embed="rId44"/>
                    <a:stretch>
                      <a:fillRect/>
                    </a:stretch>
                  </pic:blipFill>
                  <pic:spPr bwMode="auto">
                    <a:xfrm>
                      <a:off x="0" y="0"/>
                      <a:ext cx="5334000" cy="1204110"/>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7"/>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1" w:name="fig:fov"/>
    <w:p>
      <w:pPr>
        <w:pStyle w:val="CaptionedFigure"/>
      </w:pPr>
      <w:r>
        <w:drawing>
          <wp:inline>
            <wp:extent cx="2870200" cy="914400"/>
            <wp:effectExtent b="0" l="0" r="0" t="0"/>
            <wp:docPr descr="" title="" id="49" name="Picture"/>
            <a:graphic>
              <a:graphicData uri="http://schemas.openxmlformats.org/drawingml/2006/picture">
                <pic:pic>
                  <pic:nvPicPr>
                    <pic:cNvPr descr="figures/fig_fov.pdf" id="50" name="Picture"/>
                    <pic:cNvPicPr>
                      <a:picLocks noChangeArrowheads="1" noChangeAspect="1"/>
                    </pic:cNvPicPr>
                  </pic:nvPicPr>
                  <pic:blipFill>
                    <a:blip r:embed="rId48"/>
                    <a:stretch>
                      <a:fillRect/>
                    </a:stretch>
                  </pic:blipFill>
                  <pic:spPr bwMode="auto">
                    <a:xfrm>
                      <a:off x="0" y="0"/>
                      <a:ext cx="2870200" cy="914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1"/>
    <w:p>
      <w:pPr>
        <w:pStyle w:val="BodyText"/>
      </w:pPr>
      <w:r>
        <w:rPr>
          <w:i/>
          <w:iCs/>
        </w:rPr>
        <w:t xml:space="preserve">Limitations: coverage and cohort.</w:t>
      </w:r>
      <w:bookmarkStart w:id="52" w:name="sec:limitations"/>
      <w:bookmarkEnd w:id="52"/>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but carries no sacral mask for the</w:t>
      </w:r>
      <w:r>
        <w:t xml:space="preserve"> </w:t>
      </w:r>
      <w:r>
        <w:t xml:space="preserve">structure a Castellvi grade describes, which this release segments as L6 or as sacrum,</w:t>
      </w:r>
      <w:r>
        <w:t xml:space="preserve"> </w:t>
      </w:r>
      <w:r>
        <w:t xml:space="preserve">and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an anomaly needs, not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corpus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6"/>
    <w:bookmarkStart w:id="59"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7">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58">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3">
        <w:r>
          <w:rPr>
            <w:rStyle w:val="Hyperlink"/>
          </w:rPr>
          <w:t xml:space="preserve">https://github.com/OpenSpineConsortium/OpenSpineToolkit</w:t>
        </w:r>
      </w:hyperlink>
      <w:r>
        <w:t xml:space="preserve">.</w:t>
      </w:r>
    </w:p>
    <w:bookmarkEnd w:id="59"/>
    <w:bookmarkStart w:id="60"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0"/>
    <w:bookmarkStart w:id="61" w:name="conflict-of-interest"/>
    <w:p>
      <w:pPr>
        <w:pStyle w:val="Heading1"/>
      </w:pPr>
      <w:r>
        <w:t xml:space="preserve">Conflict of Interest</w:t>
      </w:r>
    </w:p>
    <w:p>
      <w:pPr>
        <w:pStyle w:val="FirstParagraph"/>
      </w:pPr>
      <w:r>
        <w:t xml:space="preserve">The authors have no relevant conflicts of interest to disclose.</w:t>
      </w:r>
    </w:p>
    <w:bookmarkEnd w:id="61"/>
    <w:bookmarkStart w:id="65"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American College of Radiology</w:t>
      </w:r>
      <w:r>
        <w:t xml:space="preserve">,</w:t>
      </w:r>
      <w:r>
        <w:t xml:space="preserve"> </w:t>
      </w:r>
      <w:r>
        <w:t xml:space="preserve">Practice parameter for the performance of</w:t>
      </w:r>
      <w:r>
        <w:t xml:space="preserve"> </w:t>
      </w:r>
      <w:r>
        <w:t xml:space="preserve">CT</w:t>
      </w:r>
      <w:r>
        <w:t xml:space="preserve"> </w:t>
      </w:r>
      <w:r>
        <w:t xml:space="preserve">of the spine, 2022,</w:t>
      </w:r>
      <w:r>
        <w:t xml:space="preserve"> </w:t>
      </w:r>
      <w:hyperlink r:id="rId62">
        <w:r>
          <w:rPr>
            <w:rStyle w:val="Hyperlink"/>
          </w:rPr>
          <w:t xml:space="preserve">https://www.asnr.org/wp-content/uploads/2019/06/CT-Spine-1.pdf</w:t>
        </w:r>
      </w:hyperlink>
      <w:r>
        <w:t xml:space="preserve">.</w:t>
      </w:r>
    </w:p>
    <w:p>
      <w:pPr>
        <w:pStyle w:val="BodyText"/>
      </w:pPr>
      <w:r>
        <w:t xml:space="preserve">American College of Radiology</w:t>
      </w:r>
      <w:r>
        <w:t xml:space="preserve">,</w:t>
      </w:r>
      <w:r>
        <w:t xml:space="preserve"> </w:t>
      </w:r>
      <w:r>
        <w:t xml:space="preserve">Practice parameter for the performance of</w:t>
      </w:r>
      <w:r>
        <w:t xml:space="preserve"> </w:t>
      </w:r>
      <w:r>
        <w:t xml:space="preserve">MRI</w:t>
      </w:r>
      <w:r>
        <w:t xml:space="preserve"> </w:t>
      </w:r>
      <w:r>
        <w:t xml:space="preserve">of the adult spine, 2023,</w:t>
      </w:r>
      <w:r>
        <w:t xml:space="preserve"> </w:t>
      </w:r>
      <w:hyperlink r:id="rId63">
        <w:r>
          <w:rPr>
            <w:rStyle w:val="Hyperlink"/>
          </w:rPr>
          <w:t xml:space="preserve">https://www.asnr.org/wp-content/uploads/2019/06/MR-Adult-Spine.pdf</w:t>
        </w:r>
      </w:hyperlink>
      <w:r>
        <w:t xml:space="preserve">.</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J. Hanhivaara et al.,</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r>
        <w:t xml:space="preserve"> </w:t>
      </w:r>
      <w:r>
        <w:t xml:space="preserve">doi:10.1097/BRS.0000000000004244.</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4">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et al.,</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K. Hasegawa et al.,</w:t>
      </w:r>
      <w:r>
        <w:t xml:space="preserve"> </w:t>
      </w:r>
      <w:r>
        <w:t xml:space="preserve">Difference in whole spinal alignment between supine and standing positions in</w:t>
      </w:r>
      <w:r>
        <w:t xml:space="preserve"> </w:t>
      </w:r>
      <w:r>
        <w:t xml:space="preserve">patients with adult spinal deformity,</w:t>
      </w:r>
      <w:r>
        <w:t xml:space="preserve"> </w:t>
      </w:r>
      <w:r>
        <w:t xml:space="preserve">BMC Musculoskelet. Disord.</w:t>
      </w:r>
      <w:r>
        <w:t xml:space="preserve"> </w:t>
      </w:r>
      <w:r>
        <w:rPr>
          <w:b/>
          <w:bCs/>
        </w:rPr>
        <w:t xml:space="preserve">19</w:t>
      </w:r>
      <w:r>
        <w:t xml:space="preserve">, 437 (2018),</w:t>
      </w:r>
      <w:r>
        <w:t xml:space="preserve"> </w:t>
      </w:r>
      <w:r>
        <w:t xml:space="preserve">doi:10.1186/s12891-018-2355-5.</w:t>
      </w:r>
    </w:p>
    <w:p>
      <w:pPr>
        <w:pStyle w:val="BodyText"/>
      </w:pPr>
      <w:r>
        <w:t xml:space="preserve">C. M. Lee and R. W. Liu,</w:t>
      </w:r>
      <w:r>
        <w:t xml:space="preserve"> </w:t>
      </w:r>
      <w:r>
        <w:t xml:space="preserve">Comparison of pelvic incidence measurement using lateral x-ray, standard CT versus</w:t>
      </w:r>
      <w:r>
        <w:t xml:space="preserve"> </w:t>
      </w:r>
      <w:r>
        <w:t xml:space="preserve">CT with 3D 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N. J. Veilleux et al.,</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et al.,</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F. Isensee et al.,</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et al.,</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et al.,</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et al.,</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et al.,</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G. J. Hahn, W. Q. Meeker and L. A. Escobar, Statistical Intervals, Wiley, 2017.</w:t>
      </w:r>
    </w:p>
    <w:p>
      <w:pPr>
        <w:pStyle w:val="BodyText"/>
      </w:pPr>
      <w:r>
        <w:t xml:space="preserve">E. C. Benzel,</w:t>
      </w:r>
      <w:r>
        <w:t xml:space="preserve"> </w:t>
      </w:r>
      <w:r>
        <w:t xml:space="preserve">,</w:t>
      </w:r>
      <w:r>
        <w:t xml:space="preserve"> </w:t>
      </w:r>
      <w:r>
        <w:t xml:space="preserve">Thieme, 3rd edition, 2015.</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5"/>
    <w:bookmarkStart w:id="66"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Count-free measures. (a) Vertebrae between the lowest rib and the sacrum. (b) Lowest rib length over the rib above. (c) Lowest lumbar transverse span against its gap to the ala; transitional labels marked.</w:t>
      </w:r>
    </w:p>
    <w:p>
      <w:pPr>
        <w:pStyle w:val="BodyText"/>
      </w:pPr>
      <w:r>
        <w:rPr>
          <w:b/>
          <w:bCs/>
        </w:rPr>
        <w:t xml:space="preserve">Figure 5.</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6.</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7.</w:t>
      </w:r>
      <w:r>
        <w:t xml:space="preserve"> </w:t>
      </w:r>
      <w:r>
        <w:t xml:space="preserve">Records carrying each vertebral level, cranial to caudal. Counts per identifier in Table S1.</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48" Target="media/rId48.pdf" /><Relationship Type="http://schemas.openxmlformats.org/officeDocument/2006/relationships/image" Id="rId30" Target="media/rId30.pdf" /><Relationship Type="http://schemas.openxmlformats.org/officeDocument/2006/relationships/image" Id="rId44" Target="media/rId44.pdf" /><Relationship Type="http://schemas.openxmlformats.org/officeDocument/2006/relationships/image" Id="rId39" Target="media/rId39.pdf" /><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2026-09-12T01:15:41Z</dcterms:created>
  <dcterms:modified xsi:type="dcterms:W3CDTF">2026-09-12T01:15:41Z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vertebra at the lumbosacral junction is named by counting. The gold standard counts caudally from C2 on whole-spine imaging ; but in practice, a lumbar surgical case is planned on lumbar-only imaging  (T12 to S1) without C2. Abdominopelvic computed tomography (CT) holds that span plus the lowest ribs and pelvis, making it a reasonable stand-in for the preoperative view. When a lumbosacral transitional vertebra (LSTV) alters the count, the local anatomy is ambiguous. Four rib-free vertebrae may be an L1 with a lumbar rib or an L5 assimilated to the sacrum, and six may be a sixth lumbar vertebra, a T12 with aplastic ribs, or a lumbarized S1 . CTSpinoPelvic1K asks whether local morphology can resolve that ambiguity without the count. Two public label sets already covered this imaging, CTSpine1K’s vertebrae and CTPelvic1K’s pelvis, on the same colonography patients, never joined; this release joins them on one series and annotates the bones neither had. It provides 802 CT records, per-level ribs and femora, lumbar levels anchored on the lowest rib-bearing vertebra and the sacrum, and classes for L6, T13 and lumbar ribs, so anomalies are recorded as themselves, not forced into whichever normal count they happen to resemble.Acquisition and Validation Methods: Records pair CTSpine1K  and CTPelvic1K  labels on each patient’s bone-richest acquisition under a VerSe-native scheme.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and, absent a public preoperative lumbar cohort, surgical planning research (377 records prone). Limitations: thoracic ground truth is field-of-view limited; postural angles are supine; no held-out test set; ribs are triaged-review pseudolabels; Castellvi grades are two-reader consensus on 33 records.</vt:lpwstr>
  </property>
  <property fmtid="{D5CDD505-2E9C-101B-9397-08002B2CF9AE}" pid="3" name="date">
    <vt:lpwstr>2026-09-11</vt:lpwstr>
  </property>
</Properties>
</file>