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df" ContentType="application/pdf"/>
  <Override PartName="/word/media/rId49.pdf" ContentType="application/pdf"/>
  <Override PartName="/word/media/rId31.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permits asking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of 802 CT records and adds ribs, femora and surgical hardware. It also introduces classes for L6, T13</w:t>
      </w:r>
      <w:r>
        <w:t xml:space="preserve"> </w:t>
      </w:r>
      <w:r>
        <w:t xml:space="preserve">and lumbar ribs, a class vocabulary that describes more of the anomalies at this junction than any existing public CT collection.</w:t>
      </w:r>
    </w:p>
    <w:p>
      <w:pPr>
        <w:pStyle w:val="Abstract"/>
      </w:pPr>
      <w:r>
        <w:rPr>
          <w:b/>
          <w:bCs/>
        </w:rPr>
        <w:t xml:space="preserve">Acquisition and Validation Methods:</w:t>
      </w:r>
      <w:r>
        <w:t xml:space="preserve"> </w:t>
      </w:r>
      <w:r>
        <w:t xml:space="preserve">Records pair CTSpine1K and CTPelvic1K masks on each patient’s bone-richest TCIA acquisition, and the release carries the series keys that map every mask to its volume.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imaging-based prevalence of anatomical variants in an asymptomatic cohort; and spinopelvic biomechanical modelling from patient-matched prone and supine acquisitions.</w:t>
      </w:r>
      <w:r>
        <w:t xml:space="preserve"> </w:t>
      </w:r>
      <w:r>
        <w:rPr>
          <w:i/>
          <w:iCs/>
        </w:rPr>
        <w:t xml:space="preserve">Limitations:</w:t>
      </w:r>
      <w:r>
        <w:t xml:space="preserve"> </w:t>
      </w:r>
      <w:r>
        <w:t xml:space="preserve">thoracic ground truth is field-of-view limited; postural</w:t>
      </w:r>
      <w:r>
        <w:t xml:space="preserve"> </w:t>
      </w:r>
      <w:r>
        <w:t xml:space="preserve">angles are non-standing;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rib-bearing thoracic and four or six rib-free lumbar vertebrae.</w:t>
      </w:r>
    </w:p>
    <w:p>
      <w:pPr>
        <w:pStyle w:val="BodyText"/>
      </w:pPr>
      <w:r>
        <w:t xml:space="preserve">Together, these transitional variants leave the vertebra at each border without a definitive name. The one formal nomenclature at the lumbosacral junction, Castellvi’s, grades the morphology of the transverse process and says nothing about whether the segment is L5 or S1 </w:t>
      </w:r>
      <w:r>
        <w:t xml:space="preserve">; every imaging landmark proposed for numbering has proved unreliable in transitional cases </w:t>
      </w:r>
      <w:r>
        <w:t xml:space="preserve">; and even a count from C2 yields a position, which a convention then converts to a name. Each of the readings above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7"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5" w:name="densification-and-why-it-is-asymmetric"/>
    <w:p>
      <w:pPr>
        <w:pStyle w:val="Heading2"/>
      </w:pPr>
      <w:r>
        <w:t xml:space="preserve">Densification, and why it is asymmetric</w:t>
      </w:r>
    </w:p>
    <w:p>
      <w:pPr>
        <w:pStyle w:val="FirstParagraph"/>
      </w:pPr>
      <w:r>
        <w:t xml:space="preserve">A rigid cross-registration of each pelvic mask onto the patient’s other acquisition was</w:t>
      </w:r>
      <w:r>
        <w:t xml:space="preserve"> </w:t>
      </w:r>
      <w:r>
        <w:t xml:space="preserve">attempted, and is released in the code base, but was found wanting. The current</w:t>
      </w:r>
      <w:r>
        <w:t xml:space="preserve"> </w:t>
      </w:r>
      <w:r>
        <w:t xml:space="preserve">nnU-Net </w:t>
      </w:r>
      <w:r>
        <w:t xml:space="preserve"> </w:t>
      </w:r>
      <w:r>
        <w:t xml:space="preserve">framework has an</w:t>
      </w:r>
      <w:r>
        <w:t xml:space="preserve"> </w:t>
      </w:r>
      <w:r>
        <w:rPr>
          <w:rStyle w:val="VerbatimChar"/>
        </w:rPr>
        <w:t xml:space="preserve">ignore</w:t>
      </w:r>
      <w:r>
        <w:t xml:space="preserve"> </w:t>
      </w:r>
      <w:r>
        <w:t xml:space="preserve">label that permitted training on</w:t>
      </w:r>
      <w:r>
        <w:t xml:space="preserve"> </w:t>
      </w:r>
      <w:r>
        <w:t xml:space="preserve">pelvis-only, spine-only and fused masks together. A preliminary network was trained in five</w:t>
      </w:r>
      <w:r>
        <w:t xml:space="preserve"> </w:t>
      </w:r>
      <w:r>
        <w:t xml:space="preserve">folds to pseudolabel the missing pelvis of every record whose spine and pelvic masks did not</w:t>
      </w:r>
      <w:r>
        <w:t xml:space="preserve"> </w:t>
      </w:r>
      <w:r>
        <w:t xml:space="preserve">share a series, using out-of-fold inference so that no record was completed by a model that</w:t>
      </w:r>
      <w:r>
        <w:t xml:space="preserve"> </w:t>
      </w:r>
      <w:r>
        <w:t xml:space="preserve">had trained on it. The pelvis is thus radiologist-derived on the 362 fused and pelvis-only</w:t>
      </w:r>
      <w:r>
        <w:t xml:space="preserve"> </w:t>
      </w:r>
      <w:r>
        <w:t xml:space="preserve">records and pseudolabeled on the other 440 (Fig. </w:t>
      </w:r>
      <w:hyperlink w:anchor="fig:pipeline">
        <w:r>
          <w:rPr>
            <w:rStyle w:val="Hyperlink"/>
          </w:rPr>
          <w:t xml:space="preserve">1</w:t>
        </w:r>
      </w:hyperlink>
      <w:r>
        <w:t xml:space="preserve">). The direction is</w:t>
      </w:r>
      <w:r>
        <w:t xml:space="preserve"> </w:t>
      </w:r>
      <w:r>
        <w:t xml:space="preserve">asymmetric because a pelvis carries no enumeration to get wrong, whereas a pseudolabeled</w:t>
      </w:r>
      <w:r>
        <w:t xml:space="preserve"> </w:t>
      </w:r>
      <w:r>
        <w:t xml:space="preserve">spine must commit to a count and, on a transitional vertebra, commits to the commoner reading;</w:t>
      </w:r>
      <w:r>
        <w:t xml:space="preserve"> </w:t>
      </w:r>
      <w:r>
        <w:t xml:space="preserve">the 20 pelvis-only spines were corrected by hand. On the manual pelvic labels of each held-out</w:t>
      </w:r>
      <w:r>
        <w:t xml:space="preserve"> </w:t>
      </w:r>
      <w:r>
        <w:t xml:space="preserve">fold the model reaches a Dice of 0.980 for the sacrum and 0.97 for each hip</w:t>
      </w:r>
      <w:r>
        <w:t xml:space="preserve"> </w:t>
      </w:r>
      <w:r>
        <w:t xml:space="preserve">(Table </w:t>
      </w:r>
      <w:hyperlink w:anchor="tab:pseudodice">
        <w:r>
          <w:rPr>
            <w:rStyle w:val="Hyperlink"/>
          </w:rPr>
          <w:t xml:space="preserve">2</w:t>
        </w:r>
      </w:hyperlink>
      <w:r>
        <w:t xml:space="preserve">); the pseudolabels also pass the release gates every structure</w:t>
      </w:r>
      <w:r>
        <w:t xml:space="preserve"> </w:t>
      </w:r>
      <w:r>
        <w:t xml:space="preserve">passes (Sec. </w:t>
      </w:r>
      <w:hyperlink w:anchor="sec:validation">
        <w:r>
          <w:rPr>
            <w:rStyle w:val="Hyperlink"/>
          </w:rPr>
          <w:t xml:space="preserve">2.6</w:t>
        </w:r>
      </w:hyperlink>
      <w:r>
        <w:t xml:space="preserve">), and the spinopelvic measures that depend on them agree</w:t>
      </w:r>
      <w:r>
        <w:t xml:space="preserve"> </w:t>
      </w:r>
      <w:r>
        <w:t xml:space="preserve">with published supine values.</w:t>
      </w:r>
    </w:p>
    <w:bookmarkStart w:id="14" w:name="tab:pseudodice"/>
    <w:p>
      <w:pPr>
        <w:pStyle w:val="TableCaption"/>
      </w:pPr>
      <w:r>
        <w:t xml:space="preserve">Held-out fold Dice of the pelvic pseudolabeller, mean</w:t>
      </w:r>
      <w:r>
        <w:t xml:space="preserve"> </w:t>
      </w:r>
      <m:oMath>
        <m:r>
          <m:rPr>
            <m:sty m:val="p"/>
          </m:rPr>
          <m:t>±</m:t>
        </m:r>
      </m:oMath>
      <w:r>
        <w:t xml:space="preserve"> </w:t>
      </w:r>
      <w:r>
        <w:t xml:space="preserve">SD over the five folds at</w:t>
      </w:r>
      <w:r>
        <w:t xml:space="preserve"> </w:t>
      </w:r>
      <w:r>
        <w:t xml:space="preserve">each fold’s selected checkpoint: nnU-Net’s validation Dice against the fold’s manual labels,</w:t>
      </w:r>
      <w:r>
        <w:t xml:space="preserve"> </w:t>
      </w:r>
      <w:r>
        <w:t xml:space="preserve">ignore regions excluded. The model merges L5 and L6; the released spine is manual, so the</w:t>
      </w:r>
      <w:r>
        <w:t xml:space="preserve"> </w:t>
      </w:r>
      <w:r>
        <w:t xml:space="preserve">lumbar rows describe the model, not the release.</w:t>
      </w:r>
    </w:p>
    <w:tbl>
      <w:tblPr>
        <w:tblStyle w:val="Table"/>
        <w:tblW w:type="auto" w:w="0"/>
        <w:tblLook w:firstRow="1" w:lastRow="0" w:firstColumn="0" w:lastColumn="0" w:noHBand="0" w:noVBand="0" w:val="0020"/>
        <w:tblCaption w:val="Held-out fold Dice of the pelvic pseudolabeller, mean \pm SD over the five folds at each fold’s selected checkpoint: nnU-Net’s validation Dice against the fold’s manual labels, ignore regions excluded. The model merges L5 and L6; the released spine is manual, so the lumbar rows describe the model, not the release."/>
      </w:tblPr>
      <w:tblGrid>
        <w:gridCol w:w="3960"/>
        <w:gridCol w:w="3960"/>
      </w:tblGrid>
      <w:tr>
        <w:trPr>
          <w:tblHeader w:val="on"/>
        </w:trPr>
        <w:tc>
          <w:tcPr/>
          <w:p>
            <w:pPr>
              <w:pStyle w:val="Compact"/>
              <w:jc w:val="left"/>
            </w:pPr>
            <w:r>
              <w:t xml:space="preserve">Structure</w:t>
            </w:r>
          </w:p>
        </w:tc>
        <w:tc>
          <w:tcPr/>
          <w:p>
            <w:pPr>
              <w:pStyle w:val="Compact"/>
              <w:jc w:val="center"/>
            </w:pPr>
            <w:r>
              <w:t xml:space="preserve">Dice</w:t>
            </w:r>
          </w:p>
        </w:tc>
      </w:tr>
      <w:tr>
        <w:tc>
          <w:tcPr/>
          <w:p>
            <w:pPr>
              <w:pStyle w:val="Compact"/>
              <w:jc w:val="left"/>
            </w:pPr>
            <w:r>
              <w:t xml:space="preserve">L1</w:t>
            </w:r>
          </w:p>
        </w:tc>
        <w:tc>
          <w:tcPr/>
          <w:p>
            <w:pPr>
              <w:pStyle w:val="Compact"/>
              <w:jc w:val="center"/>
            </w:pPr>
            <w:r>
              <w:t xml:space="preserve">0.965</w:t>
            </w:r>
            <w:r>
              <w:t xml:space="preserve"> </w:t>
            </w:r>
            <m:oMath>
              <m:r>
                <m:rPr>
                  <m:sty m:val="p"/>
                </m:rPr>
                <m:t>±</m:t>
              </m:r>
            </m:oMath>
            <w:r>
              <w:t xml:space="preserve"> </w:t>
            </w:r>
            <w:r>
              <w:t xml:space="preserve">0.017</w:t>
            </w:r>
          </w:p>
        </w:tc>
      </w:tr>
      <w:tr>
        <w:tc>
          <w:tcPr/>
          <w:p>
            <w:pPr>
              <w:pStyle w:val="Compact"/>
              <w:jc w:val="left"/>
            </w:pPr>
            <w:r>
              <w:t xml:space="preserve">L2</w:t>
            </w:r>
          </w:p>
        </w:tc>
        <w:tc>
          <w:tcPr/>
          <w:p>
            <w:pPr>
              <w:pStyle w:val="Compact"/>
              <w:jc w:val="center"/>
            </w:pPr>
            <w:r>
              <w:t xml:space="preserve">0.959</w:t>
            </w:r>
            <w:r>
              <w:t xml:space="preserve"> </w:t>
            </w:r>
            <m:oMath>
              <m:r>
                <m:rPr>
                  <m:sty m:val="p"/>
                </m:rPr>
                <m:t>±</m:t>
              </m:r>
            </m:oMath>
            <w:r>
              <w:t xml:space="preserve"> </w:t>
            </w:r>
            <w:r>
              <w:t xml:space="preserve">0.022</w:t>
            </w:r>
          </w:p>
        </w:tc>
      </w:tr>
      <w:tr>
        <w:tc>
          <w:tcPr/>
          <w:p>
            <w:pPr>
              <w:pStyle w:val="Compact"/>
              <w:jc w:val="left"/>
            </w:pPr>
            <w:r>
              <w:t xml:space="preserve">L3</w:t>
            </w:r>
          </w:p>
        </w:tc>
        <w:tc>
          <w:tcPr/>
          <w:p>
            <w:pPr>
              <w:pStyle w:val="Compact"/>
              <w:jc w:val="center"/>
            </w:pPr>
            <w:r>
              <w:t xml:space="preserve">0.958</w:t>
            </w:r>
            <w:r>
              <w:t xml:space="preserve"> </w:t>
            </w:r>
            <m:oMath>
              <m:r>
                <m:rPr>
                  <m:sty m:val="p"/>
                </m:rPr>
                <m:t>±</m:t>
              </m:r>
            </m:oMath>
            <w:r>
              <w:t xml:space="preserve"> </w:t>
            </w:r>
            <w:r>
              <w:t xml:space="preserve">0.016</w:t>
            </w:r>
          </w:p>
        </w:tc>
      </w:tr>
      <w:tr>
        <w:tc>
          <w:tcPr/>
          <w:p>
            <w:pPr>
              <w:pStyle w:val="Compact"/>
              <w:jc w:val="left"/>
            </w:pPr>
            <w:r>
              <w:t xml:space="preserve">L4</w:t>
            </w:r>
          </w:p>
        </w:tc>
        <w:tc>
          <w:tcPr/>
          <w:p>
            <w:pPr>
              <w:pStyle w:val="Compact"/>
              <w:jc w:val="center"/>
            </w:pPr>
            <w:r>
              <w:t xml:space="preserve">0.957</w:t>
            </w:r>
            <w:r>
              <w:t xml:space="preserve"> </w:t>
            </w:r>
            <m:oMath>
              <m:r>
                <m:rPr>
                  <m:sty m:val="p"/>
                </m:rPr>
                <m:t>±</m:t>
              </m:r>
            </m:oMath>
            <w:r>
              <w:t xml:space="preserve"> </w:t>
            </w:r>
            <w:r>
              <w:t xml:space="preserve">0.016</w:t>
            </w:r>
          </w:p>
        </w:tc>
      </w:tr>
      <w:tr>
        <w:tc>
          <w:tcPr/>
          <w:p>
            <w:pPr>
              <w:pStyle w:val="Compact"/>
              <w:jc w:val="left"/>
            </w:pPr>
            <w:r>
              <w:t xml:space="preserve">Last lumbar (L5, L6)</w:t>
            </w:r>
          </w:p>
        </w:tc>
        <w:tc>
          <w:tcPr/>
          <w:p>
            <w:pPr>
              <w:pStyle w:val="Compact"/>
              <w:jc w:val="center"/>
            </w:pPr>
            <w:r>
              <w:t xml:space="preserve">0.957</w:t>
            </w:r>
            <w:r>
              <w:t xml:space="preserve"> </w:t>
            </w:r>
            <m:oMath>
              <m:r>
                <m:rPr>
                  <m:sty m:val="p"/>
                </m:rPr>
                <m:t>±</m:t>
              </m:r>
            </m:oMath>
            <w:r>
              <w:t xml:space="preserve"> </w:t>
            </w:r>
            <w:r>
              <w:t xml:space="preserve">0.016</w:t>
            </w:r>
          </w:p>
        </w:tc>
      </w:tr>
      <w:tr>
        <w:tc>
          <w:tcPr/>
          <w:p>
            <w:pPr>
              <w:pStyle w:val="Compact"/>
              <w:jc w:val="left"/>
            </w:pPr>
            <w:r>
              <w:t xml:space="preserve">Sacrum</w:t>
            </w:r>
          </w:p>
        </w:tc>
        <w:tc>
          <w:tcPr/>
          <w:p>
            <w:pPr>
              <w:pStyle w:val="Compact"/>
              <w:jc w:val="center"/>
            </w:pPr>
            <w:r>
              <w:t xml:space="preserve">0.980</w:t>
            </w:r>
            <w:r>
              <w:t xml:space="preserve"> </w:t>
            </w:r>
            <m:oMath>
              <m:r>
                <m:rPr>
                  <m:sty m:val="p"/>
                </m:rPr>
                <m:t>±</m:t>
              </m:r>
            </m:oMath>
            <w:r>
              <w:t xml:space="preserve"> </w:t>
            </w:r>
            <w:r>
              <w:t xml:space="preserve">0.003</w:t>
            </w:r>
          </w:p>
        </w:tc>
      </w:tr>
      <w:tr>
        <w:tc>
          <w:tcPr/>
          <w:p>
            <w:pPr>
              <w:pStyle w:val="Compact"/>
              <w:jc w:val="left"/>
            </w:pPr>
            <w:r>
              <w:t xml:space="preserve">Left hip</w:t>
            </w:r>
          </w:p>
        </w:tc>
        <w:tc>
          <w:tcPr/>
          <w:p>
            <w:pPr>
              <w:pStyle w:val="Compact"/>
              <w:jc w:val="center"/>
            </w:pPr>
            <w:r>
              <w:t xml:space="preserve">0.970</w:t>
            </w:r>
            <w:r>
              <w:t xml:space="preserve"> </w:t>
            </w:r>
            <m:oMath>
              <m:r>
                <m:rPr>
                  <m:sty m:val="p"/>
                </m:rPr>
                <m:t>±</m:t>
              </m:r>
            </m:oMath>
            <w:r>
              <w:t xml:space="preserve"> </w:t>
            </w:r>
            <w:r>
              <w:t xml:space="preserve">0.016</w:t>
            </w:r>
          </w:p>
        </w:tc>
      </w:tr>
      <w:tr>
        <w:tc>
          <w:tcPr/>
          <w:p>
            <w:pPr>
              <w:pStyle w:val="Compact"/>
              <w:jc w:val="left"/>
            </w:pPr>
            <w:r>
              <w:t xml:space="preserve">Right hip</w:t>
            </w:r>
          </w:p>
        </w:tc>
        <w:tc>
          <w:tcPr/>
          <w:p>
            <w:pPr>
              <w:pStyle w:val="Compact"/>
              <w:jc w:val="center"/>
            </w:pPr>
            <w:r>
              <w:t xml:space="preserve">0.971</w:t>
            </w:r>
            <w:r>
              <w:t xml:space="preserve"> </w:t>
            </w:r>
            <m:oMath>
              <m:r>
                <m:rPr>
                  <m:sty m:val="p"/>
                </m:rPr>
                <m:t>±</m:t>
              </m:r>
            </m:oMath>
            <w:r>
              <w:t xml:space="preserve"> </w:t>
            </w:r>
            <w:r>
              <w:t xml:space="preserve">0.015</w:t>
            </w:r>
          </w:p>
        </w:tc>
      </w:tr>
    </w:tbl>
    <w:bookmarkEnd w:id="14"/>
    <w:bookmarkEnd w:id="15"/>
    <w:bookmarkStart w:id="16"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whatever the anatomy. The</w:t>
      </w:r>
      <w:r>
        <w:t xml:space="preserve"> </w:t>
      </w:r>
      <w:r>
        <w:t xml:space="preserve">rule selected 152 records; 148 were reviewed and corrected, and four</w:t>
      </w:r>
      <w:r>
        <w:t xml:space="preserve"> </w:t>
      </w:r>
      <w:r>
        <w:t xml:space="preserve">were not and are identified in the release. Reviewers were medical students working through  </w:t>
      </w:r>
      <w:r>
        <w:t xml:space="preserve">, trained against</w:t>
      </w:r>
      <w:r>
        <w:t xml:space="preserve"> </w:t>
      </w:r>
      <w:r>
        <w:t xml:space="preserve">a written labeling protocol, with every correction attributed to its annotator. Records passing the rule were not individually inspected;</w:t>
      </w:r>
      <w:r>
        <w:t xml:space="preserve"> </w:t>
      </w:r>
      <w:r>
        <w:t xml:space="preserve">the residual rib–vertebra offsets reported in Sec. </w:t>
      </w:r>
      <w:hyperlink w:anchor="sec:validation">
        <w:r>
          <w:rPr>
            <w:rStyle w:val="Hyperlink"/>
          </w:rPr>
          <w:t xml:space="preserve">2.6</w:t>
        </w:r>
      </w:hyperlink>
      <w:r>
        <w:t xml:space="preserve"> </w:t>
      </w:r>
      <w:r>
        <w:t xml:space="preserve">are the</w:t>
      </w:r>
      <w:r>
        <w:t xml:space="preserve"> </w:t>
      </w:r>
      <w:r>
        <w:t xml:space="preserve">independent check on what the rule missed.</w:t>
      </w:r>
    </w:p>
    <w:bookmarkEnd w:id="16"/>
    <w:bookmarkStart w:id="21"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20" w:name="fig:anchors"/>
    <w:p>
      <w:pPr>
        <w:pStyle w:val="CaptionedFigure"/>
      </w:pPr>
      <w:r>
        <w:drawing>
          <wp:inline>
            <wp:extent cx="5334000" cy="1345176"/>
            <wp:effectExtent b="0" l="0" r="0" t="0"/>
            <wp:docPr descr="" title="" id="18" name="Picture"/>
            <a:graphic>
              <a:graphicData uri="http://schemas.openxmlformats.org/drawingml/2006/picture">
                <pic:pic>
                  <pic:nvPicPr>
                    <pic:cNvPr descr="figures/fig_anchors.pdf" id="19" name="Picture"/>
                    <pic:cNvPicPr>
                      <a:picLocks noChangeArrowheads="1" noChangeAspect="1"/>
                    </pic:cNvPicPr>
                  </pic:nvPicPr>
                  <pic:blipFill>
                    <a:blip r:embed="rId17"/>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aligned on the sacrum. Red, lowest rib-bearing vertebra and its rib; blue, sacrum;</w:t>
      </w:r>
      <w:r>
        <w:t xml:space="preserve"> </w:t>
      </w:r>
      <w:r>
        <w:t xml:space="preserve">yellow, rib-free vertebrae between. Cases 0704, 0428, 0094, 0005, chosen by rule. (b) and (c) share one upper border, a short rib pair under a full pair; (b) has no LSTV; (c) is Castellvi IIIb, its fifth lumbar segment fused to the sacrum.</w:t>
      </w:r>
    </w:p>
    <w:bookmarkEnd w:id="20"/>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 Panels (b) and (c) present the same upper border, a rib pair of about 40 mm beneath a full pair, above four rib-free vertebrae; the source readers named it a lumbar rib on L1 in (b) and stump twelfth ribs on T12 in (c). Nothing in the rib decided that. Across the release the sixteen ribs labeled lumbar are a median 45 mm and 0.32 of the rib above them, and the 98 labeled stump twelfth ribs 38 mm and 0.28. What decided it was the lower border, no transitional vertebra in (b) and a fifth lumbar segment fused to the sacrum in (c) (Castellvi IIIb), together with the convention of five lumbar vertebrae, which leaves one place for the anomaly in each. The count cannot separate the two; the rib length and the lumbosacral junction, both labeled here, can.</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1"/>
    <w:bookmarkStart w:id="25"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2">
        <w:r>
          <w:rPr>
            <w:rStyle w:val="Hyperlink"/>
          </w:rPr>
          <w:t xml:space="preserve">https://huggingface.co/OpenSpineConsortium/spinopelvic-seg-checkpoints</w:t>
        </w:r>
      </w:hyperlink>
      <w:r>
        <w:t xml:space="preserve">, trained with</w:t>
      </w:r>
      <w:r>
        <w:t xml:space="preserve"> </w:t>
      </w:r>
      <w:hyperlink r:id="rId23">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4">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5"/>
    <w:bookmarkStart w:id="26"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6"/>
    <w:bookmarkStart w:id="28"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7"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7"/>
    <w:bookmarkEnd w:id="28"/>
    <w:bookmarkStart w:id="36"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9"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9"/>
    <w:bookmarkStart w:id="30"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30"/>
    <w:bookmarkStart w:id="35"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4" w:name="fig:hardware"/>
    <w:p>
      <w:pPr>
        <w:pStyle w:val="CaptionedFigure"/>
      </w:pPr>
      <w:r>
        <w:drawing>
          <wp:inline>
            <wp:extent cx="5334000" cy="1144542"/>
            <wp:effectExtent b="0" l="0" r="0" t="0"/>
            <wp:docPr descr="" title="" id="32" name="Picture"/>
            <a:graphic>
              <a:graphicData uri="http://schemas.openxmlformats.org/drawingml/2006/picture">
                <pic:pic>
                  <pic:nvPicPr>
                    <pic:cNvPr descr="figures/fig_hardware.pdf" id="33" name="Picture"/>
                    <pic:cNvPicPr>
                      <a:picLocks noChangeArrowheads="1" noChangeAspect="1"/>
                    </pic:cNvPicPr>
                  </pic:nvPicPr>
                  <pic:blipFill>
                    <a:blip r:embed="rId31"/>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4"/>
    <w:bookmarkEnd w:id="35"/>
    <w:bookmarkEnd w:id="36"/>
    <w:bookmarkEnd w:id="37"/>
    <w:bookmarkStart w:id="39"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8"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8"/>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9"/>
    <w:bookmarkStart w:id="44"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3</w:t>
        </w:r>
      </w:hyperlink>
      <w:r>
        <w:t xml:space="preserve"> </w:t>
      </w:r>
      <w:r>
        <w:t xml:space="preserve">places against two series.</w:t>
      </w:r>
    </w:p>
    <w:bookmarkStart w:id="43" w:name="fig:validation"/>
    <w:p>
      <w:pPr>
        <w:pStyle w:val="CaptionedFigure"/>
      </w:pPr>
      <w:r>
        <w:drawing>
          <wp:inline>
            <wp:extent cx="5334000" cy="110467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5"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4"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1190055"/>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8"/>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2" w:name="fig:fov"/>
    <w:p>
      <w:pPr>
        <w:pStyle w:val="CaptionedFigure"/>
      </w:pPr>
      <w:r>
        <w:drawing>
          <wp:inline>
            <wp:extent cx="2895600" cy="9271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Limitations: coverage and cohort.</w:t>
      </w:r>
      <w:bookmarkStart w:id="53" w:name="sec:limitations"/>
      <w:bookmarkEnd w:id="53"/>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4"/>
    <w:bookmarkEnd w:id="55"/>
    <w:bookmarkStart w:id="56"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6"/>
    <w:bookmarkStart w:id="57"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7"/>
    <w:bookmarkStart w:id="60"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8">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59">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4">
        <w:r>
          <w:rPr>
            <w:rStyle w:val="Hyperlink"/>
          </w:rPr>
          <w:t xml:space="preserve">https://github.com/OpenSpineConsortium/OpenSpineToolkit</w:t>
        </w:r>
      </w:hyperlink>
      <w:r>
        <w:t xml:space="preserve">.</w:t>
      </w:r>
    </w:p>
    <w:bookmarkEnd w:id="60"/>
    <w:bookmarkStart w:id="61"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1"/>
    <w:bookmarkStart w:id="62" w:name="conflict-of-interest"/>
    <w:p>
      <w:pPr>
        <w:pStyle w:val="Heading1"/>
      </w:pPr>
      <w:r>
        <w:t xml:space="preserve">Conflict of Interest</w:t>
      </w:r>
    </w:p>
    <w:p>
      <w:pPr>
        <w:pStyle w:val="FirstParagraph"/>
      </w:pPr>
      <w:r>
        <w:t xml:space="preserve">The authors have no relevant conflicts of interest to disclose.</w:t>
      </w:r>
    </w:p>
    <w:bookmarkEnd w:id="62"/>
    <w:bookmarkStart w:id="66"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J. A. Carrino, P. D. Campbell, D. C. Lin, W. B. Morrison, M. E. Schweitzer, A. E. Flanders, J. Eng, and A. R. Vaccaro,</w:t>
      </w:r>
      <w:r>
        <w:t xml:space="preserve"> </w:t>
      </w:r>
      <w:r>
        <w:t xml:space="preserve">Effect of spinal segment variants on numbering vertebral levels at lumbar</w:t>
      </w:r>
      <w:r>
        <w:t xml:space="preserve"> </w:t>
      </w:r>
      <w:r>
        <w:t xml:space="preserve">MR</w:t>
      </w:r>
      <w:r>
        <w:t xml:space="preserve"> </w:t>
      </w:r>
      <w:r>
        <w:t xml:space="preserve">imaging,</w:t>
      </w:r>
      <w:r>
        <w:t xml:space="preserve"> </w:t>
      </w:r>
      <w:r>
        <w:t xml:space="preserve">Radiology</w:t>
      </w:r>
      <w:r>
        <w:t xml:space="preserve"> </w:t>
      </w:r>
      <w:r>
        <w:rPr>
          <w:b/>
          <w:bCs/>
        </w:rPr>
        <w:t xml:space="preserve">259</w:t>
      </w:r>
      <w:r>
        <w:t xml:space="preserve">, 196–202 (2011).</w:t>
      </w:r>
    </w:p>
    <w:p>
      <w:pPr>
        <w:pStyle w:val="BodyText"/>
      </w:pPr>
      <w:r>
        <w:t xml:space="preserve">N. A. Farshad-Amacker, B. Lurie, R. J. Herzog, and M. Farshad,</w:t>
      </w:r>
      <w:r>
        <w:t xml:space="preserve"> </w:t>
      </w:r>
      <w:r>
        <w:t xml:space="preserve">Merits of different anatomical landmarks for correct numbering of the lumbar vertebrae in lumbosacral transitional anomalies,</w:t>
      </w:r>
      <w:r>
        <w:t xml:space="preserve"> </w:t>
      </w:r>
      <w:r>
        <w:t xml:space="preserve">Eur. Spine J.</w:t>
      </w:r>
      <w:r>
        <w:t xml:space="preserve"> </w:t>
      </w:r>
      <w:r>
        <w:rPr>
          <w:b/>
          <w:bCs/>
        </w:rPr>
        <w:t xml:space="preserve">24</w:t>
      </w:r>
      <w:r>
        <w:t xml:space="preserve">, 600–608 (2015).</w:t>
      </w:r>
    </w:p>
    <w:p>
      <w:pPr>
        <w:pStyle w:val="BodyText"/>
      </w:pPr>
      <w:r>
        <w:t xml:space="preserve">D. Tureli, G. Ekinci, and F. Baltacioglu,</w:t>
      </w:r>
      <w:r>
        <w:t xml:space="preserve"> </w:t>
      </w:r>
      <w:r>
        <w:t xml:space="preserve">Is any landmark reliable in vertebral enumeration?</w:t>
      </w:r>
      <w:r>
        <w:t xml:space="preserve"> </w:t>
      </w:r>
      <w:r>
        <w:t xml:space="preserve">A</w:t>
      </w:r>
      <w:r>
        <w:t xml:space="preserve"> </w:t>
      </w:r>
      <w:r>
        <w:t xml:space="preserve">study of 3.0-</w:t>
      </w:r>
      <w:r>
        <w:t xml:space="preserve">Tesla</w:t>
      </w:r>
      <w:r>
        <w:t xml:space="preserve"> </w:t>
      </w:r>
      <w:r>
        <w:t xml:space="preserve">lumbar</w:t>
      </w:r>
      <w:r>
        <w:t xml:space="preserve"> </w:t>
      </w:r>
      <w:r>
        <w:t xml:space="preserve">MRI</w:t>
      </w:r>
      <w:r>
        <w:t xml:space="preserve"> </w:t>
      </w:r>
      <w:r>
        <w:t xml:space="preserve">comparing skeletal, neural, and vascular markers,</w:t>
      </w:r>
      <w:r>
        <w:t xml:space="preserve"> </w:t>
      </w:r>
      <w:r>
        <w:t xml:space="preserve">Clin. Imaging</w:t>
      </w:r>
      <w:r>
        <w:t xml:space="preserve"> </w:t>
      </w:r>
      <w:r>
        <w:rPr>
          <w:b/>
          <w:bCs/>
        </w:rPr>
        <w:t xml:space="preserve">38</w:t>
      </w:r>
      <w:r>
        <w:t xml:space="preserve">, 792–796 (2014).</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3">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4">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5">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6"/>
    <w:bookmarkStart w:id="67"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aligned on the sacrum. Red, lowest rib-bearing vertebra and its rib; blue, sacrum; yellow, rib-free vertebrae between. Cases 0704, 0428, 0094, 0005, chosen by rule. (b) and (c) share one upper border, a short rib pair under a full pair; (b) has no LSTV; (c) is Castellvi IIIb, its fifth lumbar segment fused to the sacrum.</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df" /><Relationship Type="http://schemas.openxmlformats.org/officeDocument/2006/relationships/image" Id="rId49" Target="media/rId49.pdf" /><Relationship Type="http://schemas.openxmlformats.org/officeDocument/2006/relationships/image" Id="rId31" Target="media/rId31.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3" Target="https://github.com/Gregory-Schwing-MD-PhD/spinesurg-ct-nnunet" TargetMode="External" /><Relationship Type="http://schemas.openxmlformats.org/officeDocument/2006/relationships/hyperlink" Id="rId58" Target="https://github.com/OpenSpineConsortium/CTSpinoPelvic1K" TargetMode="External" /><Relationship Type="http://schemas.openxmlformats.org/officeDocument/2006/relationships/hyperlink" Id="rId24" Target="https://github.com/OpenSpineConsortium/OpenSpineToolkit" TargetMode="External" /><Relationship Type="http://schemas.openxmlformats.org/officeDocument/2006/relationships/hyperlink" Id="rId22" Target="https://huggingface.co/OpenSpineConsortium/spinopelvic-seg-checkpoints" TargetMode="External" /><Relationship Type="http://schemas.openxmlformats.org/officeDocument/2006/relationships/hyperlink" Id="rId59" Target="https://huggingface.co/datasets/OpenSpineConsortium/CTSpinoPelvic1K" TargetMode="External" /><Relationship Type="http://schemas.openxmlformats.org/officeDocument/2006/relationships/hyperlink" Id="rId63" Target="https://www.asnr.org/wp-content/uploads/2019/06/CT-Spine-1.pdf" TargetMode="External" /><Relationship Type="http://schemas.openxmlformats.org/officeDocument/2006/relationships/hyperlink" Id="rId64" Target="https://www.asnr.org/wp-content/uploads/2019/06/MR-Adult-Spine.pdf" TargetMode="External" /><Relationship Type="http://schemas.openxmlformats.org/officeDocument/2006/relationships/hyperlink" Id="rId65"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Gregory-Schwing-MD-PhD/spinesurg-ct-nnunet" TargetMode="External" /><Relationship Type="http://schemas.openxmlformats.org/officeDocument/2006/relationships/hyperlink" Id="rId58" Target="https://github.com/OpenSpineConsortium/CTSpinoPelvic1K" TargetMode="External" /><Relationship Type="http://schemas.openxmlformats.org/officeDocument/2006/relationships/hyperlink" Id="rId24" Target="https://github.com/OpenSpineConsortium/OpenSpineToolkit" TargetMode="External" /><Relationship Type="http://schemas.openxmlformats.org/officeDocument/2006/relationships/hyperlink" Id="rId22" Target="https://huggingface.co/OpenSpineConsortium/spinopelvic-seg-checkpoints" TargetMode="External" /><Relationship Type="http://schemas.openxmlformats.org/officeDocument/2006/relationships/hyperlink" Id="rId59" Target="https://huggingface.co/datasets/OpenSpineConsortium/CTSpinoPelvic1K" TargetMode="External" /><Relationship Type="http://schemas.openxmlformats.org/officeDocument/2006/relationships/hyperlink" Id="rId63" Target="https://www.asnr.org/wp-content/uploads/2019/06/CT-Spine-1.pdf" TargetMode="External" /><Relationship Type="http://schemas.openxmlformats.org/officeDocument/2006/relationships/hyperlink" Id="rId64" Target="https://www.asnr.org/wp-content/uploads/2019/06/MR-Adult-Spine.pdf" TargetMode="External" /><Relationship Type="http://schemas.openxmlformats.org/officeDocument/2006/relationships/hyperlink" Id="rId65"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2026-09-13T15:27:08Z</dcterms:created>
  <dcterms:modified xsi:type="dcterms:W3CDTF">2026-09-13T15:27:08Z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permits asking whether local morphology can resolve that ambiguity without counting caudally from C2. Two public label sets already covered this imaging, CTSpine1K’s vertebrae and CTPelvic1K’s pelvis, on the same colonography patients. This release joins them in one dataset of 802 CT records and adds ribs, femora and surgical hardware. It also introduces classes for L6, T13 and lumbar ribs, a class vocabulary that describes more of the anomalies at this junction than any existing public CT collection.Acquisition and Validation Methods: Records pair CTSpine1K and CTPelvic1K masks on each patient’s bone-richest TCIA acquisition, and the release carries the series keys that map every mask to its volume.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imaging-based prevalence of anatomical variants in an asymptomatic cohort; and spinopelvic biomechanical modelling from patient-matched prone and supine acquisitions. Limitations: thoracic ground truth is field-of-view limited; postural angles are non-standing; no held-out test set; ribs are triaged-review pseudolabels; Castellvi grades are two-reader consensus on 33 records.</vt:lpwstr>
  </property>
  <property fmtid="{D5CDD505-2E9C-101B-9397-08002B2CF9AE}" pid="3" name="date">
    <vt:lpwstr>2026-09-13</vt:lpwstr>
  </property>
</Properties>
</file>