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b):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 The positional description is, by construction,</w:t>
      </w:r>
      <w:r>
        <w:t xml:space="preserve"> </w:t>
      </w:r>
      <w:r>
        <w:t xml:space="preserve">blind to the ambiguity: an L1 bearing a lumbar rib and an L5 assimilated to the sacrum both</w:t>
      </w:r>
      <w:r>
        <w:t xml:space="preserve"> </w:t>
      </w:r>
      <w:r>
        <w:t xml:space="preserve">leave four rib-free vertebrae above the sacrum, and a true sixth lumbar vertebra and a T12</w:t>
      </w:r>
      <w:r>
        <w:t xml:space="preserve"> </w:t>
      </w:r>
      <w:r>
        <w:t xml:space="preserve">with aplastic ribs both leave six. The count alone cannot separate the readings.</w:t>
      </w:r>
    </w:p>
    <w:p>
      <w:pPr>
        <w:pStyle w:val="BodyText"/>
      </w:pPr>
      <w:r>
        <w:rPr>
          <w:i/>
          <w:iCs/>
        </w:rPr>
        <w:t xml:space="preserve">But the vertebrae themselves are known to differ.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Level-specific morphometry is long established: pedicle width and height change</w:t>
      </w:r>
      <w:r>
        <w:t xml:space="preserve"> </w:t>
      </w:r>
      <w:r>
        <w:t xml:space="preserve">systematically from the thoracic to the lumbar spine,</w:t>
      </w:r>
      <w:r>
        <w:t xml:space="preserve"> </w:t>
      </w:r>
      <w:r>
        <w:t xml:space="preserve">vertebral body,</w:t>
      </w:r>
      <w:r>
        <w:t xml:space="preserve"> </w:t>
      </w:r>
      <w:r>
        <w:t xml:space="preserve">endplate and canal dimensions differ by level,</w:t>
      </w:r>
      <w:r>
        <w:t xml:space="preserve"> </w:t>
      </w:r>
      <w:r>
        <w:t xml:space="preserve">and</w:t>
      </w:r>
      <w:r>
        <w:t xml:space="preserve"> </w:t>
      </w:r>
      <w:r>
        <w:t xml:space="preserve">the transverse process and the iliolumbar ligament mark the last lumbar vertebra</w:t>
      </w:r>
      <w:r>
        <w:t xml:space="preserve"> </w:t>
      </w:r>
      <w:r>
        <w:t xml:space="preserve">independently of any count.</w:t>
      </w:r>
      <w:r>
        <w:t xml:space="preserve"> </w:t>
      </w:r>
      <w:r>
        <w:t xml:space="preserve">If those differences hold at the</w:t>
      </w:r>
      <w:r>
        <w:t xml:space="preserve"> </w:t>
      </w:r>
      <w:r>
        <w:t xml:space="preserve">boundary itself, the phenotype is decidable from the vertebra in front of the reader without</w:t>
      </w:r>
      <w:r>
        <w:t xml:space="preserve"> </w:t>
      </w:r>
      <w:r>
        <w:t xml:space="preserve">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does not constitute human</w:t>
      </w:r>
      <w:r>
        <w:t xml:space="preserve"> </w:t>
      </w:r>
      <w:r>
        <w:t xml:space="preserve">participant research under the Common Rule at 45 CFR 46, and that review and oversight are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M. R. Zindrick et al.,</w:t>
      </w:r>
      <w:r>
        <w:t xml:space="preserve"> </w:t>
      </w:r>
      <w:r>
        <w:t xml:space="preserve">Analysis of the morphometric characteristics of the thoracic and lumbar pedicles,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12</w:t>
      </w:r>
      <w:r>
        <w:t xml:space="preserve">, 160–166 (1987),</w:t>
      </w:r>
      <w:r>
        <w:t xml:space="preserve"> </w:t>
      </w:r>
      <w:r>
        <w:t xml:space="preserve">doi:10.1097/00007632-198703000-00012.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Thoracic human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16</w:t>
      </w:r>
      <w:r>
        <w:t xml:space="preserve">, 888–901 (1991),</w:t>
      </w:r>
      <w:r>
        <w:t xml:space="preserve"> </w:t>
      </w:r>
      <w:r>
        <w:t xml:space="preserve">doi:10.1097/00007632-199108000-00006.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Human lumbar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17</w:t>
      </w:r>
      <w:r>
        <w:t xml:space="preserve">, 299–306 (1992),</w:t>
      </w:r>
      <w:r>
        <w:t xml:space="preserve"> </w:t>
      </w:r>
      <w:r>
        <w:t xml:space="preserve">doi:10.1097/00007632-199203000-00010.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R. J. Hughes and A. Saifuddin,</w:t>
      </w:r>
      <w:r>
        <w:t xml:space="preserve"> </w:t>
      </w:r>
      <w:r>
        <w:t xml:space="preserve">Numbering of lumbosacral transitional vertebrae on</w:t>
      </w:r>
      <w:r>
        <w:t xml:space="preserve"> </w:t>
      </w:r>
      <w:r>
        <w:t xml:space="preserve">MRI</w:t>
      </w:r>
      <w:r>
        <w:t xml:space="preserve">: role of the iliolumbar ligaments,</w:t>
      </w:r>
      <w:r>
        <w:t xml:space="preserve"> </w:t>
      </w:r>
      <w:r>
        <w:t xml:space="preserve">AJR Am. J. Roentgenol.</w:t>
      </w:r>
      <w:r>
        <w:t xml:space="preserve"> </w:t>
      </w:r>
      <w:r>
        <w:rPr>
          <w:b/>
          <w:bCs/>
        </w:rPr>
        <w:t xml:space="preserve">187</w:t>
      </w:r>
      <w:r>
        <w:t xml:space="preserve">, W59–W65 (2006),</w:t>
      </w:r>
      <w:r>
        <w:t xml:space="preserve"> </w:t>
      </w:r>
      <w:r>
        <w:t xml:space="preserve">doi:10.2214/AJR.05.0415.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2026-09-04T02:48:23Z</dcterms:created>
  <dcterms:modified xsi:type="dcterms:W3CDTF">2026-09-04T02:48:23Z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