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in every case, so what</w:t>
      </w:r>
      <w:r>
        <w:t xml:space="preserve"> </w:t>
      </w:r>
      <w:r>
        <w:t xml:space="preserve">remains is the sequence — conventionally established by counting downward from C2, the reference standard for</w:t>
      </w:r>
      <w:r>
        <w:t xml:space="preserve"> </w:t>
      </w:r>
      <w:r>
        <w:t xml:space="preserve">numeration </w:t>
      </w:r>
      <w:r>
        <w:t xml:space="preserve">, and 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from The Cancer Imaging</w:t>
      </w:r>
      <w:r>
        <w:t xml:space="preserve"> </w:t>
      </w:r>
      <w:r>
        <w:t xml:space="preserve">Archive </w:t>
      </w:r>
      <w:r>
        <w:t xml:space="preserve"> </w:t>
      </w:r>
      <w:r>
        <w:t xml:space="preserve">and annotations derived from it. The investigators obtain no</w:t>
      </w:r>
      <w:r>
        <w:t xml:space="preserve"> </w:t>
      </w:r>
      <w:r>
        <w:t xml:space="preserve">identifiable private information and have no interaction with the individuals imaged, so the</w:t>
      </w:r>
      <w:r>
        <w:t xml:space="preserve"> </w:t>
      </w:r>
      <w:r>
        <w:t xml:space="preserve">activity does not meet the definition of human participant research under 45 CFR 46.102. A</w:t>
      </w:r>
      <w:r>
        <w:t xml:space="preserve"> </w:t>
      </w:r>
      <w:r>
        <w:t xml:space="preserve">determination to that effect has been submitted to the authors’ institutional</w:t>
      </w:r>
      <w:r>
        <w:t xml:space="preserve"> </w:t>
      </w:r>
      <w:r>
        <w:t xml:space="preserve">Review Board.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2026-09-03T12:58:29Z</dcterms:created>
  <dcterms:modified xsi:type="dcterms:W3CDTF">2026-09-03T12:58:29Z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