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1.pdf" ContentType="application/pdf"/>
  <Override PartName="/word/media/rId36.pdf" ContentType="application/pdf"/>
  <Override PartName="/word/media/rId45.pdf" ContentType="application/pdf"/>
  <Override PartName="/word/media/rId11.pdf" ContentType="application/pdf"/>
  <Override PartName="/word/media/rId40.pdf" ContentType="application/pdf"/>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CTSpinoPelvic1K: spine, pelvis, ribs and femora in one coordinate frame, annotated for lumbosacral transitional anatomy</w:t>
      </w:r>
    </w:p>
    <w:p>
      <w:pPr>
        <w:pStyle w:val="Author"/>
      </w:pPr>
      <w:r>
        <w:t xml:space="preserve">Gregory Schwing, MD, PhD; Ashley Schehr, BS; Annika Tekumulla, BS; Margret Khoushi, BS; Ryan Christian, BS; Dane Hubers, BS; Faris Mahjoub, BS; Hassan Saad, BS; Mia Sooch, BA; Sathya Siddapureddy, BS; Michael McLellan, BS; Jerick Kim, BS; Miraziz Ismoilov, MD; Nizar Alnabahneh, MD</w:t>
      </w:r>
    </w:p>
    <w:p>
      <w:pPr>
        <w:pStyle w:val="AbstractTitle"/>
      </w:pPr>
      <w:r>
        <w:t xml:space="preserve">Abstract</w:t>
      </w:r>
    </w:p>
    <w:p>
      <w:pPr>
        <w:pStyle w:val="Abstract"/>
      </w:pPr>
      <w:r>
        <w:rPr>
          <w:b/>
          <w:bCs/>
        </w:rPr>
        <w:t xml:space="preserve">Purpose:</w:t>
      </w:r>
      <w:r>
        <w:t xml:space="preserve"> </w:t>
      </w:r>
      <w:r>
        <w:t xml:space="preserve">Lumbar levels cannot be numbered reliably when a lumbosacral</w:t>
      </w:r>
      <w:r>
        <w:t xml:space="preserve"> </w:t>
      </w:r>
      <w:r>
        <w:t xml:space="preserve">transitional vertebra (LSTV) is present. Sacralization and lumbarization are different</w:t>
      </w:r>
      <w:r>
        <w:t xml:space="preserve"> </w:t>
      </w:r>
      <w:r>
        <w:t xml:space="preserve">developmental events and leave different traces, but those traces are not decisive in every</w:t>
      </w:r>
      <w:r>
        <w:t xml:space="preserve"> </w:t>
      </w:r>
      <w:r>
        <w:t xml:space="preserve">case, and the count that would arbitrate is taken downward from C2 — the one landmark</w:t>
      </w:r>
      <w:r>
        <w:t xml:space="preserve"> </w:t>
      </w:r>
      <w:r>
        <w:t xml:space="preserve">present in every spine and never duplicated </w:t>
      </w:r>
      <w:r>
        <w:t xml:space="preserve">. A field of view that</w:t>
      </w:r>
      <w:r>
        <w:t xml:space="preserve"> </w:t>
      </w:r>
      <w:r>
        <w:t xml:space="preserve">begins in the thorax contains no such landmark, so the name rests on morphology alone</w:t>
      </w:r>
      <w:r>
        <w:t xml:space="preserve"> </w:t>
      </w:r>
      <w:r>
        <w:t xml:space="preserve">exactly where morphology is least certain. Public collections either omit the pelvis</w:t>
      </w:r>
      <w:r>
        <w:t xml:space="preserve"> </w:t>
      </w:r>
      <w:r>
        <w:t xml:space="preserve">(CTSpine1K </w:t>
      </w:r>
      <w:r>
        <w:t xml:space="preserve">, VerSe </w:t>
      </w:r>
      <w:r>
        <w:t xml:space="preserve">) or omit the classes a transitional</w:t>
      </w:r>
      <w:r>
        <w:t xml:space="preserve"> </w:t>
      </w:r>
      <w:r>
        <w:t xml:space="preserve">vertebra requires: TotalSegmentator </w:t>
      </w:r>
      <w:r>
        <w:t xml:space="preserve">, the largest whole-body</w:t>
      </w:r>
      <w:r>
        <w:t xml:space="preserve"> </w:t>
      </w:r>
      <w:r>
        <w:t xml:space="preserve">collection, provides no sixth lumbar vertebra and no class for a rib arising from a lumbar</w:t>
      </w:r>
      <w:r>
        <w:t xml:space="preserve"> </w:t>
      </w:r>
      <w:r>
        <w:t xml:space="preserve">level, and VerSe excludes vertebrae fused to the sacrum by design </w:t>
      </w:r>
      <w:r>
        <w:t xml:space="preserve">.</w:t>
      </w:r>
      <w:r>
        <w:t xml:space="preserve"> </w:t>
      </w:r>
      <w:r>
        <w:t xml:space="preserve">CTSpinoPelvic1K provides 802 CT records carrying radiologist-sourced spine</w:t>
      </w:r>
      <w:r>
        <w:t xml:space="preserve"> </w:t>
      </w:r>
      <w:r>
        <w:rPr>
          <w:i/>
          <w:iCs/>
        </w:rPr>
        <w:t xml:space="preserve">and</w:t>
      </w:r>
      <w:r>
        <w:t xml:space="preserve"> </w:t>
      </w:r>
      <w:r>
        <w:t xml:space="preserve">pelvic annotation on one coordinate frame, with per-level ribs and femora. Four classes</w:t>
      </w:r>
      <w:r>
        <w:t xml:space="preserve"> </w:t>
      </w:r>
      <w:r>
        <w:t xml:space="preserve">exist so that a variant need not be forced into an ordinary level: a sixth lumbar vertebra,</w:t>
      </w:r>
      <w:r>
        <w:t xml:space="preserve"> </w:t>
      </w:r>
      <w:r>
        <w:t xml:space="preserve">a thirteenth thoracic vertebra, the first sacral segment held separate from the sacrum, and</w:t>
      </w:r>
      <w:r>
        <w:t xml:space="preserve"> </w:t>
      </w:r>
      <w:r>
        <w:t xml:space="preserve">left and right lumbar ribs. The primary use is the lumbosacral interface — sacral</w:t>
      </w:r>
      <w:r>
        <w:t xml:space="preserve"> </w:t>
      </w:r>
      <w:r>
        <w:t xml:space="preserve">morphology measured against the lumbar spine, for pelvic fixation and lumbar surgical</w:t>
      </w:r>
      <w:r>
        <w:t xml:space="preserve"> </w:t>
      </w:r>
      <w:r>
        <w:t xml:space="preserve">planning — and the transitional labeling is what makes that interface trustworthy, since</w:t>
      </w:r>
      <w:r>
        <w:t xml:space="preserve"> </w:t>
      </w:r>
      <w:r>
        <w:t xml:space="preserve">a trajectory cannot be planned across a junction whose segments cannot be named. Because</w:t>
      </w:r>
      <w:r>
        <w:t xml:space="preserve"> </w:t>
      </w:r>
      <w:r>
        <w:t xml:space="preserve">every record follows one screening protocol, between-scan variation reflects anatomy rather</w:t>
      </w:r>
      <w:r>
        <w:t xml:space="preserve"> </w:t>
      </w:r>
      <w:r>
        <w:t xml:space="preserve">than acquisition, which suits the collection to learning morphology directly.</w:t>
      </w:r>
    </w:p>
    <w:p>
      <w:pPr>
        <w:pStyle w:val="Abstract"/>
      </w:pPr>
      <w:r>
        <w:rPr>
          <w:b/>
          <w:bCs/>
        </w:rPr>
        <w:t xml:space="preserve">Acquisition and Validation Methods:</w:t>
      </w:r>
      <w:r>
        <w:t xml:space="preserve"> </w:t>
      </w:r>
      <w:r>
        <w:t xml:space="preserve">Records were built by patient-level</w:t>
      </w:r>
      <w:r>
        <w:t xml:space="preserve"> </w:t>
      </w:r>
      <w:r>
        <w:t xml:space="preserve">crosswalk of three public collections — TCIA CT COLONOGRAPHY imaging, CTSpine1K </w:t>
      </w:r>
      <w:r>
        <w:t xml:space="preserve"> </w:t>
      </w:r>
      <w:r>
        <w:t xml:space="preserve">vertebral labels, and CTPelvic1K </w:t>
      </w:r>
      <w:r>
        <w:t xml:space="preserve"> </w:t>
      </w:r>
      <w:r>
        <w:t xml:space="preserve">pelvic labels — with labels placed on the acquisition</w:t>
      </w:r>
      <w:r>
        <w:t xml:space="preserve"> </w:t>
      </w:r>
      <w:r>
        <w:t xml:space="preserve">carrying the highest bone coverage and unified under a VerSe-native scheme. Validation is</w:t>
      </w:r>
      <w:r>
        <w:t xml:space="preserve"> </w:t>
      </w:r>
      <w:r>
        <w:t xml:space="preserve">threefold: per-case geometric invariants (802/802 pass); rib–vertebra incidence across</w:t>
      </w:r>
      <w:r>
        <w:t xml:space="preserve"> </w:t>
      </w:r>
      <w:r>
        <w:t xml:space="preserve">5</w:t>
      </w:r>
      <w:r>
        <w:t xml:space="preserve">,</w:t>
      </w:r>
      <w:r>
        <w:t xml:space="preserve">749 evaluable ribs (2 residual offsets, 0.035%); and agreement of derived spinopelvic</w:t>
      </w:r>
      <w:r>
        <w:t xml:space="preserve"> </w:t>
      </w:r>
      <w:r>
        <w:t xml:space="preserve">measures with published reference values.</w:t>
      </w:r>
    </w:p>
    <w:p>
      <w:pPr>
        <w:pStyle w:val="Abstract"/>
      </w:pPr>
      <w:r>
        <w:rPr>
          <w:b/>
          <w:bCs/>
        </w:rPr>
        <w:t xml:space="preserve">Data Format and Usage Notes:</w:t>
      </w:r>
      <w:r>
        <w:t xml:space="preserve"> </w:t>
      </w:r>
      <w:r>
        <w:t xml:space="preserve">Gzipped NIfTI image/label pairs sharing an</w:t>
      </w:r>
      <w:r>
        <w:t xml:space="preserve"> </w:t>
      </w:r>
      <w:r>
        <w:t xml:space="preserve">identical affine, canonicalized to PIR, with frozen patient-grouped LSTV-stratified</w:t>
      </w:r>
      <w:r>
        <w:t xml:space="preserve"> </w:t>
      </w:r>
      <w:r>
        <w:t xml:space="preserve">five-fold cross-validation splits and a reference loader. Archived at .</w:t>
      </w:r>
    </w:p>
    <w:p>
      <w:pPr>
        <w:pStyle w:val="Abstract"/>
      </w:pPr>
      <w:r>
        <w:rPr>
          <w:b/>
          <w:bCs/>
        </w:rPr>
        <w:t xml:space="preserve">Potential Applications:</w:t>
      </w:r>
      <w:r>
        <w:t xml:space="preserve"> </w:t>
      </w:r>
      <w:r>
        <w:t xml:space="preserve">Segmentation and level-numbering benchmarks, anatomical</w:t>
      </w:r>
      <w:r>
        <w:t xml:space="preserve"> </w:t>
      </w:r>
      <w:r>
        <w:t xml:space="preserve">variant studies, surgical planning, and opportunistic screening research.</w:t>
      </w:r>
      <w:r>
        <w:t xml:space="preserve"> </w:t>
      </w:r>
      <w:r>
        <w:rPr>
          <w:i/>
          <w:iCs/>
        </w:rPr>
        <w:t xml:space="preserve">Limitations:</w:t>
      </w:r>
      <w:r>
        <w:t xml:space="preserve"> </w:t>
      </w:r>
      <w:r>
        <w:t xml:space="preserve">thoracic ground truth is field-of-view limited; postural angles are</w:t>
      </w:r>
      <w:r>
        <w:t xml:space="preserve"> </w:t>
      </w:r>
      <w:r>
        <w:t xml:space="preserve">supine; the soft-tissue identifiers are declared but unpopulated; the splits are</w:t>
      </w:r>
      <w:r>
        <w:t xml:space="preserve"> </w:t>
      </w:r>
      <w:r>
        <w:t xml:space="preserve">cross-validation folds and include no held-out test set; the rib layer is a reviewed</w:t>
      </w:r>
      <w:r>
        <w:t xml:space="preserve"> </w:t>
      </w:r>
      <w:r>
        <w:t xml:space="preserve">pseudolabel whose review was triaged by an automated rule rather than exhaustive; and the</w:t>
      </w:r>
      <w:r>
        <w:t xml:space="preserve"> </w:t>
      </w:r>
      <w:r>
        <w:t xml:space="preserve">Castellvi grades were assigned by a radiology resident physician.</w:t>
      </w:r>
    </w:p>
    <w:p>
      <w:pPr>
        <w:pStyle w:val="FirstParagraph"/>
      </w:pPr>
      <w:r>
        <w:rPr>
          <w:i/>
          <w:iCs/>
        </w:rPr>
        <w:t xml:space="preserve">Draft for co-author review — not the submission copy.</w:t>
      </w:r>
    </w:p>
    <w:bookmarkStart w:id="16" w:name="introduction"/>
    <w:p>
      <w:pPr>
        <w:pStyle w:val="Heading1"/>
      </w:pPr>
      <w:r>
        <w:t xml:space="preserve">Introduction</w:t>
      </w:r>
    </w:p>
    <w:p>
      <w:pPr>
        <w:pStyle w:val="FirstParagraph"/>
      </w:pPr>
      <w:r>
        <w:t xml:space="preserve">Labeling a lumbar vertebra requires counting, and counting requires two fixed ends. The</w:t>
      </w:r>
      <w:r>
        <w:t xml:space="preserve"> </w:t>
      </w:r>
      <w:r>
        <w:t xml:space="preserve">spine commonly carries seven cervical, twelve thoracic and five lumbar vertebrae, but</w:t>
      </w:r>
      <w:r>
        <w:t xml:space="preserve"> </w:t>
      </w:r>
      <w:r>
        <w:rPr>
          <w:i/>
          <w:iCs/>
        </w:rPr>
        <w:t xml:space="preserve">enumeration anomalies</w:t>
      </w:r>
      <w:r>
        <w:t xml:space="preserve"> </w:t>
      </w:r>
      <w:r>
        <w:t xml:space="preserve">— eleven or thirteen thoracic, four or six lumbar — are</w:t>
      </w:r>
      <w:r>
        <w:t xml:space="preserve"> </w:t>
      </w:r>
      <w:r>
        <w:t xml:space="preserve">common, and the transitional phenotypes that produce them sit at the two ends of the lumbar</w:t>
      </w:r>
      <w:r>
        <w:t xml:space="preserve"> </w:t>
      </w:r>
      <w:r>
        <w:t xml:space="preserve">column: the lumbosacral transitional vertebra (LSTV) below and the thoracolumbar</w:t>
      </w:r>
      <w:r>
        <w:t xml:space="preserve"> </w:t>
      </w:r>
      <w:r>
        <w:t xml:space="preserve">transitional vertebra (TLTV) above. In the presence of an LSTV the lower end is not where it</w:t>
      </w:r>
      <w:r>
        <w:t xml:space="preserve"> </w:t>
      </w:r>
      <w:r>
        <w:t xml:space="preserve">is assumed to be. The two phenotypes are distinct developmental events — a lumbar segment</w:t>
      </w:r>
      <w:r>
        <w:t xml:space="preserve"> </w:t>
      </w:r>
      <w:r>
        <w:t xml:space="preserve">assimilating to the sacrum, or a sacral segment separating from it — and they leave</w:t>
      </w:r>
      <w:r>
        <w:t xml:space="preserve"> </w:t>
      </w:r>
      <w:r>
        <w:t xml:space="preserve">different traces: a sacralized L5 tends toward an anteriorly wedged body, a reduced disc</w:t>
      </w:r>
      <w:r>
        <w:t xml:space="preserve"> </w:t>
      </w:r>
      <w:r>
        <w:t xml:space="preserve">beneath it and hypoplastic or absent facet joints, while a lumbarized S1 tends toward a</w:t>
      </w:r>
      <w:r>
        <w:t xml:space="preserve"> </w:t>
      </w:r>
      <w:r>
        <w:t xml:space="preserve">squared body in the sagittal plane, well formed lumbar-type facets and a full-height</w:t>
      </w:r>
      <w:r>
        <w:t xml:space="preserve"> </w:t>
      </w:r>
      <w:r>
        <w:t xml:space="preserve">disc </w:t>
      </w:r>
      <w:r>
        <w:t xml:space="preserve">. What counting settles is the</w:t>
      </w:r>
      <w:r>
        <w:t xml:space="preserve"> </w:t>
      </w:r>
      <w:r>
        <w:rPr>
          <w:i/>
          <w:iCs/>
        </w:rPr>
        <w:t xml:space="preserve">name</w:t>
      </w:r>
      <w:r>
        <w:t xml:space="preserve">. The difficulty is that</w:t>
      </w:r>
      <w:r>
        <w:t xml:space="preserve"> </w:t>
      </w:r>
      <w:r>
        <w:t xml:space="preserve">these traces are not decisive in every case, so the name and the morphology can disagree,</w:t>
      </w:r>
      <w:r>
        <w:t xml:space="preserve"> </w:t>
      </w:r>
      <w:r>
        <w:t xml:space="preserve">and the count that would arbitrate is taken downward from C2 — unavailable in any</w:t>
      </w:r>
      <w:r>
        <w:t xml:space="preserve"> </w:t>
      </w:r>
      <w:r>
        <w:t xml:space="preserve">spine-limited acquisition. LSTV is common, reported between 4% and 30% depending on</w:t>
      </w:r>
      <w:r>
        <w:t xml:space="preserve"> </w:t>
      </w:r>
      <w:r>
        <w:t xml:space="preserve">definition, and wrong-level surgery is its most serious consequence.</w:t>
      </w:r>
    </w:p>
    <w:p>
      <w:pPr>
        <w:pStyle w:val="BodyText"/>
      </w:pPr>
      <w:r>
        <w:t xml:space="preserve">Existing public collections do not make this tractable, and not because they are small</w:t>
      </w:r>
      <w:r>
        <w:t xml:space="preserve"> </w:t>
      </w:r>
      <w:r>
        <w:t xml:space="preserve">(Fig. </w:t>
      </w:r>
      <w:hyperlink w:anchor="fig:priorart">
        <w:r>
          <w:rPr>
            <w:rStyle w:val="Hyperlink"/>
          </w:rPr>
          <w:t xml:space="preserve">1</w:t>
        </w:r>
      </w:hyperlink>
      <w:r>
        <w:t xml:space="preserve">): the spine collections omit the pelvis, the pelvic ones carry no</w:t>
      </w:r>
      <w:r>
        <w:t xml:space="preserve"> </w:t>
      </w:r>
      <w:r>
        <w:t xml:space="preserve">vertebral count, and the whole-body schemes have neither an L6 class nor a class for a rib</w:t>
      </w:r>
      <w:r>
        <w:t xml:space="preserve"> </w:t>
      </w:r>
      <w:r>
        <w:t xml:space="preserve">borne by a lumbar vertebra, so a six-lumbar spine cannot be written down in them at any</w:t>
      </w:r>
      <w:r>
        <w:t xml:space="preserve"> </w:t>
      </w:r>
      <w:r>
        <w:t xml:space="preserve">segmentation quality. VerSe </w:t>
      </w:r>
      <w:r>
        <w:t xml:space="preserve"> </w:t>
      </w:r>
      <w:r>
        <w:t xml:space="preserve">is the instructive case, and</w:t>
      </w:r>
      <w:r>
        <w:t xml:space="preserve"> </w:t>
      </w:r>
      <w:r>
        <w:t xml:space="preserve">Fig. </w:t>
      </w:r>
      <w:hyperlink w:anchor="fig:priorart">
        <w:r>
          <w:rPr>
            <w:rStyle w:val="Hyperlink"/>
          </w:rPr>
          <w:t xml:space="preserve">1</w:t>
        </w:r>
      </w:hyperlink>
      <w:r>
        <w:t xml:space="preserve">(b) gives it: a collection can enrich for anatomical variants</w:t>
      </w:r>
      <w:r>
        <w:t xml:space="preserve"> </w:t>
      </w:r>
      <w:r>
        <w:t xml:space="preserve">deliberately, grade them, and still be unable to represent the ones it grades.</w:t>
      </w:r>
    </w:p>
    <w:p>
      <w:pPr>
        <w:pStyle w:val="BodyText"/>
      </w:pPr>
      <w:r>
        <w:t xml:space="preserve">CTSpinoPelvic1K places the spine, pelvis, ribs and femora in one coordinate frame and gives</w:t>
      </w:r>
      <w:r>
        <w:t xml:space="preserve"> </w:t>
      </w:r>
      <w:r>
        <w:t xml:space="preserve">a class to each structure an enumeration anomaly produces: a sixth lumbar vertebra, and a</w:t>
      </w:r>
      <w:r>
        <w:t xml:space="preserve"> </w:t>
      </w:r>
      <w:r>
        <w:t xml:space="preserve">rib borne by a lumbar vertebra. A scheme without those classes must record such anatomy as</w:t>
      </w:r>
      <w:r>
        <w:t xml:space="preserve"> </w:t>
      </w:r>
      <w:r>
        <w:t xml:space="preserve">something it is not.</w:t>
      </w:r>
    </w:p>
    <w:p>
      <w:pPr>
        <w:pStyle w:val="BodyText"/>
      </w:pPr>
      <w:r>
        <w:rPr>
          <w:i/>
          <w:iCs/>
        </w:rPr>
        <w:t xml:space="preserve">Where the material is.</w:t>
      </w:r>
      <w:r>
        <w:t xml:space="preserve"> </w:t>
      </w:r>
      <w:r>
        <w:t xml:space="preserve">Everything described here is of a single</w:t>
      </w:r>
      <w:r>
        <w:t xml:space="preserve"> </w:t>
      </w:r>
      <w:r>
        <w:t xml:space="preserve">archived dataset, deposited at</w:t>
      </w:r>
      <w:r>
        <w:t xml:space="preserve"> </w:t>
      </w:r>
      <w:hyperlink r:id="rId9">
        <w:r>
          <w:rPr>
            <w:rStyle w:val="Hyperlink"/>
          </w:rPr>
          <w:t xml:space="preserve">https://doi.org/\datasetversiondoi</w:t>
        </w:r>
      </w:hyperlink>
      <w:r>
        <w:t xml:space="preserve">. Citations should</w:t>
      </w:r>
      <w:r>
        <w:t xml:space="preserve"> </w:t>
      </w:r>
      <w:r>
        <w:t xml:space="preserve">use</w:t>
      </w:r>
      <w:r>
        <w:t xml:space="preserve"> </w:t>
      </w:r>
      <w:hyperlink r:id="rId10">
        <w:r>
          <w:rPr>
            <w:rStyle w:val="Hyperlink"/>
          </w:rPr>
          <w:t xml:space="preserve">https://doi.org/\datasetdoi</w:t>
        </w:r>
      </w:hyperlink>
      <w:r>
        <w:t xml:space="preserve">, the permanent identifier for the dataset across all</w:t>
      </w:r>
      <w:r>
        <w:t xml:space="preserve"> </w:t>
      </w:r>
      <w:r>
        <w:t xml:space="preserve">of its versions, which resolves to whichever version is current; the version identifier</w:t>
      </w:r>
      <w:r>
        <w:t xml:space="preserve"> </w:t>
      </w:r>
      <w:r>
        <w:t xml:space="preserve">above pins the exact release measured in this manuscript. Documentation, the label scheme, the</w:t>
      </w:r>
      <w:r>
        <w:t xml:space="preserve"> </w:t>
      </w:r>
      <w:r>
        <w:t xml:space="preserve">reference loader and the per-record quality-control tables are distributed with the archive</w:t>
      </w:r>
      <w:r>
        <w:t xml:space="preserve"> </w:t>
      </w:r>
      <w:r>
        <w:t xml:space="preserve">and are described in Sec. </w:t>
      </w:r>
      <w:hyperlink w:anchor="sec:format">
        <w:r>
          <w:rPr>
            <w:rStyle w:val="Hyperlink"/>
          </w:rPr>
          <w:t xml:space="preserve">3</w:t>
        </w:r>
      </w:hyperlink>
      <w:r>
        <w:t xml:space="preserve">.</w:t>
      </w:r>
    </w:p>
    <w:bookmarkStart w:id="15" w:name="X22b48b7b459c7d36a584115c3178f04b0b53450"/>
    <w:p>
      <w:pPr>
        <w:pStyle w:val="Heading2"/>
      </w:pPr>
      <w:r>
        <w:t xml:space="preserve">Vertebra labeling when the scan cannot settle the count</w:t>
      </w:r>
    </w:p>
    <w:p>
      <w:pPr>
        <w:pStyle w:val="FirstParagraph"/>
      </w:pPr>
      <w:r>
        <w:rPr>
          <w:i/>
          <w:iCs/>
        </w:rPr>
        <w:t xml:space="preserve">The limitation, stated plainly.</w:t>
      </w:r>
      <w:r>
        <w:t xml:space="preserve"> </w:t>
      </w:r>
      <w:r>
        <w:t xml:space="preserve">No scan in this corpus contains C2 or the whole</w:t>
      </w:r>
      <w:r>
        <w:t xml:space="preserve"> </w:t>
      </w:r>
      <w:r>
        <w:t xml:space="preserve">cervical spine, so the conventional count cannot be performed. That is a property of</w:t>
      </w:r>
      <w:r>
        <w:t xml:space="preserve"> </w:t>
      </w:r>
      <w:r>
        <w:t xml:space="preserve">abdominal imaging rather than of the annotation, and it means a variant at the thoracolumbar</w:t>
      </w:r>
      <w:r>
        <w:t xml:space="preserve"> </w:t>
      </w:r>
      <w:r>
        <w:t xml:space="preserve">junction cannot be</w:t>
      </w:r>
      <w:r>
        <w:t xml:space="preserve"> </w:t>
      </w:r>
      <w:r>
        <w:rPr>
          <w:i/>
          <w:iCs/>
        </w:rPr>
        <w:t xml:space="preserve">resolved by counting</w:t>
      </w:r>
      <w:r>
        <w:t xml:space="preserve"> </w:t>
      </w:r>
      <w:r>
        <w:t xml:space="preserve">here at all: a thirteenth thoracic vertebra, a</w:t>
      </w:r>
      <w:r>
        <w:t xml:space="preserve"> </w:t>
      </w:r>
      <w:r>
        <w:t xml:space="preserve">lumbar rib, and a</w:t>
      </w:r>
      <w:r>
        <w:t xml:space="preserve"> </w:t>
      </w:r>
      <w:r>
        <w:rPr>
          <w:i/>
          <w:iCs/>
        </w:rPr>
        <w:t xml:space="preserve">stump rib</w:t>
      </w:r>
      <w:r>
        <w:t xml:space="preserve"> </w:t>
      </w:r>
      <w:r>
        <w:t xml:space="preserve">— a hypoplastic twelfth rib, one of the cardinal</w:t>
      </w:r>
      <w:r>
        <w:t xml:space="preserve"> </w:t>
      </w:r>
      <w:r>
        <w:t xml:space="preserve">indicators of a thoracolumbar transitional vertebra — produce overlapping appearances.</w:t>
      </w:r>
    </w:p>
    <w:p>
      <w:pPr>
        <w:pStyle w:val="BodyText"/>
      </w:pPr>
      <w:r>
        <w:rPr>
          <w:i/>
          <w:iCs/>
        </w:rPr>
        <w:t xml:space="preserve">What the release does instead.</w:t>
      </w:r>
      <w:r>
        <w:t xml:space="preserve"> </w:t>
      </w:r>
      <w:r>
        <w:t xml:space="preserve">No vertebral label is asserted where it cannot be</w:t>
      </w:r>
      <w:r>
        <w:t xml:space="preserve"> </w:t>
      </w:r>
      <w:r>
        <w:t xml:space="preserve">supported. Every quantity is expressed against the two landmarks present in essentially</w:t>
      </w:r>
      <w:r>
        <w:t xml:space="preserve"> </w:t>
      </w:r>
      <w:r>
        <w:t xml:space="preserve">every abdominal scan — the sacrum below and the lowest rib-bearing vertebra above — so</w:t>
      </w:r>
      <w:r>
        <w:t xml:space="preserve"> </w:t>
      </w:r>
      <w:r>
        <w:t xml:space="preserve">the description is positional rather than nominal: a vertebra by how many rib-free vertebrae</w:t>
      </w:r>
      <w:r>
        <w:t xml:space="preserve"> </w:t>
      </w:r>
      <w:r>
        <w:t xml:space="preserve">separate it from the sacrum, a lowest rib by its length as a fraction of the rib above it, a</w:t>
      </w:r>
      <w:r>
        <w:t xml:space="preserve"> </w:t>
      </w:r>
      <w:r>
        <w:t xml:space="preserve">transverse process by its span and its distance from the ala. None of these changes according</w:t>
      </w:r>
      <w:r>
        <w:t xml:space="preserve"> </w:t>
      </w:r>
      <w:r>
        <w:t xml:space="preserve">to whether a reader would have said L5 or S1, so cases that disagree about the name remain</w:t>
      </w:r>
      <w:r>
        <w:t xml:space="preserve"> </w:t>
      </w:r>
      <w:r>
        <w:t xml:space="preserve">comparable. Where the junction is in view the count is determined and the conventional name</w:t>
      </w:r>
      <w:r>
        <w:t xml:space="preserve"> </w:t>
      </w:r>
      <w:r>
        <w:t xml:space="preserve">follows, and the two descriptions agree.</w:t>
      </w:r>
    </w:p>
    <w:p>
      <w:pPr>
        <w:pStyle w:val="BodyText"/>
      </w:pPr>
      <w:r>
        <w:rPr>
          <w:i/>
          <w:iCs/>
        </w:rPr>
        <w:t xml:space="preserve">And the morphology may be local rather than global.</w:t>
      </w:r>
      <w:r>
        <w:t xml:space="preserve"> </w:t>
      </w:r>
      <w:r>
        <w:t xml:space="preserve">Counting is not the only route to</w:t>
      </w:r>
      <w:r>
        <w:t xml:space="preserve"> </w:t>
      </w:r>
      <w:r>
        <w:t xml:space="preserve">an identity. A thoracic vertebra differs in shape from a lumbar one — in the span of its</w:t>
      </w:r>
      <w:r>
        <w:t xml:space="preserve"> </w:t>
      </w:r>
      <w:r>
        <w:t xml:space="preserve">transverse processes relative to its body, in the proportions of its endplates and canal —</w:t>
      </w:r>
      <w:r>
        <w:t xml:space="preserve"> </w:t>
      </w:r>
      <w:r>
        <w:t xml:space="preserve">and if that difference holds at the boundary itself, the phenotype is decidable from the</w:t>
      </w:r>
      <w:r>
        <w:t xml:space="preserve"> </w:t>
      </w:r>
      <w:r>
        <w:t xml:space="preserve">vertebra in front of the reader without any global count. On this corpus it does hold:</w:t>
      </w:r>
      <w:r>
        <w:t xml:space="preserve"> </w:t>
      </w:r>
      <w:r>
        <w:t xml:space="preserve">separating T12 from L1 on shape alone, with each patient’s own size divided out and</w:t>
      </w:r>
      <w:r>
        <w:t xml:space="preserve"> </w:t>
      </w:r>
      <w:r>
        <w:t xml:space="preserve">cross-validation grouped by case, gives an area under the curve of 0.990 and 97.3%</w:t>
      </w:r>
      <w:r>
        <w:t xml:space="preserve"> </w:t>
      </w:r>
      <w:r>
        <w:t xml:space="preserve">accuracy over 1485 vertebrae. Size is deliberately removed, because a classifier given raw</w:t>
      </w:r>
      <w:r>
        <w:t xml:space="preserve"> </w:t>
      </w:r>
      <w:r>
        <w:t xml:space="preserve">millimeters separates thoracic from lumbar immediately and has learned nothing that helps at</w:t>
      </w:r>
      <w:r>
        <w:t xml:space="preserve"> </w:t>
      </w:r>
      <w:r>
        <w:t xml:space="preserve">the junction, where the two are nearly the same size.</w:t>
      </w:r>
    </w:p>
    <w:p>
      <w:pPr>
        <w:pStyle w:val="BodyText"/>
      </w:pPr>
      <w:r>
        <w:t xml:space="preserve">That is reported as a property of the released measurements rather than as a method: the</w:t>
      </w:r>
      <w:r>
        <w:t xml:space="preserve"> </w:t>
      </w:r>
      <w:r>
        <w:t xml:space="preserve">information needed to settle these variants is present locally.</w:t>
      </w:r>
    </w:p>
    <w:bookmarkStart w:id="14" w:name="fig:priorart"/>
    <w:p>
      <w:pPr>
        <w:pStyle w:val="CaptionedFigure"/>
      </w:pPr>
      <w:r>
        <w:drawing>
          <wp:inline>
            <wp:extent cx="5334000" cy="1747344"/>
            <wp:effectExtent b="0" l="0" r="0" t="0"/>
            <wp:docPr descr="" title="" id="12" name="Picture"/>
            <a:graphic>
              <a:graphicData uri="http://schemas.openxmlformats.org/drawingml/2006/picture">
                <pic:pic>
                  <pic:nvPicPr>
                    <pic:cNvPr descr="figures/fig_priorart.pdf" id="13" name="Picture"/>
                    <pic:cNvPicPr>
                      <a:picLocks noChangeArrowheads="1" noChangeAspect="1"/>
                    </pic:cNvPicPr>
                  </pic:nvPicPr>
                  <pic:blipFill>
                    <a:blip r:embed="rId11"/>
                    <a:stretch>
                      <a:fillRect/>
                    </a:stretch>
                  </pic:blipFill>
                  <pic:spPr bwMode="auto">
                    <a:xfrm>
                      <a:off x="0" y="0"/>
                      <a:ext cx="5334000" cy="1747344"/>
                    </a:xfrm>
                    <a:prstGeom prst="rect">
                      <a:avLst/>
                    </a:prstGeom>
                    <a:noFill/>
                    <a:ln w="9525">
                      <a:noFill/>
                      <a:headEnd/>
                      <a:tailEnd/>
                    </a:ln>
                  </pic:spPr>
                </pic:pic>
              </a:graphicData>
            </a:graphic>
          </wp:inline>
        </w:drawing>
      </w:r>
    </w:p>
    <w:p>
      <w:pPr>
        <w:pStyle w:val="ImageCaption"/>
      </w:pPr>
      <w:r>
        <w:t xml:space="preserve">Public CT collections at the lumbosacral junction. (a) Size, stated first</w:t>
      </w:r>
      <w:r>
        <w:t xml:space="preserve"> </w:t>
      </w:r>
      <w:r>
        <w:t xml:space="preserve">because it is the claim this dataset does</w:t>
      </w:r>
      <w:r>
        <w:t xml:space="preserve"> </w:t>
      </w:r>
      <w:r>
        <w:rPr>
          <w:i/>
          <w:iCs/>
        </w:rPr>
        <w:t xml:space="preserve">not</w:t>
      </w:r>
      <w:r>
        <w:t xml:space="preserve"> </w:t>
      </w:r>
      <w:r>
        <w:t xml:space="preserve">make: three of the five comparators</w:t>
      </w:r>
      <w:r>
        <w:t xml:space="preserve"> </w:t>
      </w:r>
      <w:r>
        <w:t xml:space="preserve">carry more scans, and RibSeg v2 </w:t>
      </w:r>
      <w:r>
        <w:t xml:space="preserve"> </w:t>
      </w:r>
      <w:r>
        <w:t xml:space="preserve">labels more ribs. (b) What each published scheme can</w:t>
      </w:r>
      <w:r>
        <w:t xml:space="preserve"> </w:t>
      </w:r>
      <w:r>
        <w:rPr>
          <w:i/>
          <w:iCs/>
        </w:rPr>
        <w:t xml:space="preserve">represent</w:t>
      </w:r>
      <w:r>
        <w:t xml:space="preserve">, a property of its</w:t>
      </w:r>
      <w:r>
        <w:t xml:space="preserve"> </w:t>
      </w:r>
      <w:r>
        <w:t xml:space="preserve">class list rather than of its segmentation quality. VerSe is graded-but-excluding: it</w:t>
      </w:r>
      <w:r>
        <w:t xml:space="preserve"> </w:t>
      </w:r>
      <w:r>
        <w:t xml:space="preserve">applies the Castellvi classification and uses it to decide what to omit, leaving vertebrae</w:t>
      </w:r>
      <w:r>
        <w:t xml:space="preserve"> </w:t>
      </w:r>
      <w:r>
        <w:t xml:space="preserve">partially fused to the sacrum unsegmented </w:t>
      </w:r>
      <w:r>
        <w:t xml:space="preserve"> </w:t>
      </w:r>
      <w:r>
        <w:t xml:space="preserve">— 25 of the 33 graded</w:t>
      </w:r>
      <w:r>
        <w:t xml:space="preserve"> </w:t>
      </w:r>
      <w:r>
        <w:t xml:space="preserve">records here.</w:t>
      </w:r>
    </w:p>
    <w:bookmarkEnd w:id="14"/>
    <w:bookmarkEnd w:id="15"/>
    <w:bookmarkEnd w:id="16"/>
    <w:bookmarkStart w:id="34" w:name="acquisition-and-validation-methods"/>
    <w:p>
      <w:pPr>
        <w:pStyle w:val="Heading1"/>
      </w:pPr>
      <w:r>
        <w:t xml:space="preserve">Acquisition and Validation Methods</w:t>
      </w:r>
    </w:p>
    <w:bookmarkStart w:id="17" w:name="X2c0fb42c8bb5bb5ce1dd1e3dae8e3c8ee5cb14f"/>
    <w:p>
      <w:pPr>
        <w:pStyle w:val="Heading2"/>
      </w:pPr>
      <w:r>
        <w:t xml:space="preserve">Sources, and why a crosswalk was necessary</w:t>
      </w:r>
    </w:p>
    <w:p>
      <w:pPr>
        <w:pStyle w:val="FirstParagraph"/>
      </w:pPr>
      <w:r>
        <w:t xml:space="preserve">Both CTSpine1K </w:t>
      </w:r>
      <w:r>
        <w:t xml:space="preserve"> </w:t>
      </w:r>
      <w:r>
        <w:t xml:space="preserve">and CTPelvic1K </w:t>
      </w:r>
      <w:r>
        <w:t xml:space="preserve"> </w:t>
      </w:r>
      <w:r>
        <w:t xml:space="preserve">draw part of</w:t>
      </w:r>
      <w:r>
        <w:t xml:space="preserve"> </w:t>
      </w:r>
      <w:r>
        <w:t xml:space="preserve">their imaging from the TCIA CT colonography collection </w:t>
      </w:r>
      <w:r>
        <w:t xml:space="preserve">, and</w:t>
      </w:r>
      <w:r>
        <w:t xml:space="preserve"> </w:t>
      </w:r>
      <w:r>
        <w:t xml:space="preserve">the vertebral and pelvic annotations in both were produced under</w:t>
      </w:r>
      <w:r>
        <w:t xml:space="preserve"> </w:t>
      </w:r>
      <w:r>
        <w:t xml:space="preserve">board-certified radiologist supervision. Neither released the mapping from an</w:t>
      </w:r>
      <w:r>
        <w:t xml:space="preserve"> </w:t>
      </w:r>
      <w:r>
        <w:t xml:space="preserve">annotation to the specific CT series it was drawn on.</w:t>
      </w:r>
    </w:p>
    <w:p>
      <w:pPr>
        <w:pStyle w:val="BodyText"/>
      </w:pPr>
      <w:r>
        <w:t xml:space="preserve">That mapping is not a bookkeeping detail. Every patient in CT COLONOGRAPHY was scanned</w:t>
      </w:r>
      <w:r>
        <w:t xml:space="preserve"> </w:t>
      </w:r>
      <w:r>
        <w:rPr>
          <w:i/>
          <w:iCs/>
        </w:rPr>
        <w:t xml:space="preserve">twice</w:t>
      </w:r>
      <w:r>
        <w:t xml:space="preserve">, prone and supine, often with more than one kernel, so one patient identifier</w:t>
      </w:r>
      <w:r>
        <w:t xml:space="preserve"> </w:t>
      </w:r>
      <w:r>
        <w:t xml:space="preserve">resolves to several volumes differing in posture, position, field of view and noise — and</w:t>
      </w:r>
      <w:r>
        <w:t xml:space="preserve"> </w:t>
      </w:r>
      <w:r>
        <w:t xml:space="preserve">an annotation carries a patient identifier and nothing finer.</w:t>
      </w:r>
    </w:p>
    <w:p>
      <w:pPr>
        <w:pStyle w:val="BodyText"/>
      </w:pPr>
      <w:r>
        <w:t xml:space="preserve">Placing it on the wrong volume of the same patient is not merely a displacement. The spine is</w:t>
      </w:r>
      <w:r>
        <w:t xml:space="preserve"> </w:t>
      </w:r>
      <w:r>
        <w:t xml:space="preserve">mildly deformable, and turning a patient from supine to prone alters lumbar lordosis and the</w:t>
      </w:r>
      <w:r>
        <w:t xml:space="preserve"> </w:t>
      </w:r>
      <w:r>
        <w:t xml:space="preserve">alignment of each segment against the next, so a vertebra moves by a different amount, and in</w:t>
      </w:r>
      <w:r>
        <w:t xml:space="preserve"> </w:t>
      </w:r>
      <w:r>
        <w:t xml:space="preserve">a different direction, from the one above it. Outlines drawn on one series are the wrong</w:t>
      </w:r>
      <w:r>
        <w:t xml:space="preserve"> </w:t>
      </w:r>
      <w:r>
        <w:rPr>
          <w:i/>
          <w:iCs/>
        </w:rPr>
        <w:t xml:space="preserve">shape</w:t>
      </w:r>
      <w:r>
        <w:t xml:space="preserve"> </w:t>
      </w:r>
      <w:r>
        <w:t xml:space="preserve">for the other, and no rigid realignment recovers them. In isolation such a mask</w:t>
      </w:r>
      <w:r>
        <w:t xml:space="preserve"> </w:t>
      </w:r>
      <w:r>
        <w:t xml:space="preserve">looks like competent work; it reveals itself only when overlaid on the image.</w:t>
      </w:r>
    </w:p>
    <w:p>
      <w:pPr>
        <w:pStyle w:val="BodyText"/>
      </w:pPr>
      <w:r>
        <w:t xml:space="preserve">The crosswalk (Fig. S1) therefore resolves each annotation first to a</w:t>
      </w:r>
      <w:r>
        <w:t xml:space="preserve"> </w:t>
      </w:r>
      <w:r>
        <w:t xml:space="preserve">patient and then, within that patient’s volumes only, to the series whose bone</w:t>
      </w:r>
      <w:r>
        <w:t xml:space="preserve"> </w:t>
      </w:r>
      <w:r>
        <w:rPr>
          <w:i/>
          <w:iCs/>
        </w:rPr>
        <w:t xml:space="preserve">agrees</w:t>
      </w:r>
      <w:r>
        <w:t xml:space="preserve"> </w:t>
      </w:r>
      <w:r>
        <w:t xml:space="preserve">with it: candidates are thresholded at bone attenuation and scored by overlap with the</w:t>
      </w:r>
      <w:r>
        <w:t xml:space="preserve"> </w:t>
      </w:r>
      <w:r>
        <w:t xml:space="preserve">annotation mask. Bone rather than image similarity, because bone is what the annotation</w:t>
      </w:r>
      <w:r>
        <w:t xml:space="preserve"> </w:t>
      </w:r>
      <w:r>
        <w:t xml:space="preserve">describes — two acquisitions of one abdomen resemble each other everywhere except in where</w:t>
      </w:r>
      <w:r>
        <w:t xml:space="preserve"> </w:t>
      </w:r>
      <w:r>
        <w:t xml:space="preserve">the skeleton sits.</w:t>
      </w:r>
    </w:p>
    <w:bookmarkEnd w:id="17"/>
    <w:bookmarkStart w:id="18" w:name="fused-and-split-records"/>
    <w:p>
      <w:pPr>
        <w:pStyle w:val="Heading2"/>
      </w:pPr>
      <w:r>
        <w:t xml:space="preserve">Fused and split records</w:t>
      </w:r>
    </w:p>
    <w:p>
      <w:pPr>
        <w:pStyle w:val="FirstParagraph"/>
      </w:pPr>
      <w:r>
        <w:t xml:space="preserve">The two annotation sets were placed independently, so they do not always land on the same</w:t>
      </w:r>
      <w:r>
        <w:t xml:space="preserve"> </w:t>
      </w:r>
      <w:r>
        <w:t xml:space="preserve">series. Of 802 records, 342 carry spine and pelvic annotations on the same volume</w:t>
      </w:r>
      <w:r>
        <w:t xml:space="preserve"> </w:t>
      </w:r>
      <w:r>
        <w:t xml:space="preserve">(</w:t>
      </w:r>
      <w:r>
        <w:rPr>
          <w:i/>
          <w:iCs/>
        </w:rPr>
        <w:t xml:space="preserve">fused</w:t>
      </w:r>
      <w:r>
        <w:t xml:space="preserve">), 351 are</w:t>
      </w:r>
      <w:r>
        <w:t xml:space="preserve"> </w:t>
      </w:r>
      <w:r>
        <w:rPr>
          <w:i/>
          <w:iCs/>
        </w:rPr>
        <w:t xml:space="preserve">separate</w:t>
      </w:r>
      <w:r>
        <w:t xml:space="preserve">, 89 are</w:t>
      </w:r>
      <w:r>
        <w:t xml:space="preserve"> </w:t>
      </w:r>
      <w:r>
        <w:rPr>
          <w:i/>
          <w:iCs/>
        </w:rPr>
        <w:t xml:space="preserve">spine_only</w:t>
      </w:r>
      <w:r>
        <w:t xml:space="preserve"> </w:t>
      </w:r>
      <w:r>
        <w:t xml:space="preserve">with no pelvic</w:t>
      </w:r>
      <w:r>
        <w:t xml:space="preserve"> </w:t>
      </w:r>
      <w:r>
        <w:t xml:space="preserve">annotation for that patient, and 20 are</w:t>
      </w:r>
      <w:r>
        <w:t xml:space="preserve"> </w:t>
      </w:r>
      <w:r>
        <w:rPr>
          <w:i/>
          <w:iCs/>
        </w:rPr>
        <w:t xml:space="preserve">pelvic_only</w:t>
      </w:r>
      <w:r>
        <w:t xml:space="preserve">. The split is the crosswalk’s</w:t>
      </w:r>
      <w:r>
        <w:t xml:space="preserve"> </w:t>
      </w:r>
      <w:r>
        <w:t xml:space="preserve">main finding rather than bookkeeping: in those separate records — nearly half of all</w:t>
      </w:r>
      <w:r>
        <w:t xml:space="preserve"> </w:t>
      </w:r>
      <w:r>
        <w:t xml:space="preserve">patients — the two public collections annotated</w:t>
      </w:r>
      <w:r>
        <w:t xml:space="preserve"> </w:t>
      </w:r>
      <w:r>
        <w:rPr>
          <w:i/>
          <w:iCs/>
        </w:rPr>
        <w:t xml:space="preserve">different volumes of the same</w:t>
      </w:r>
      <w:r>
        <w:rPr>
          <w:i/>
          <w:iCs/>
        </w:rPr>
        <w:t xml:space="preserve"> </w:t>
      </w:r>
      <w:r>
        <w:rPr>
          <w:i/>
          <w:iCs/>
        </w:rPr>
        <w:t xml:space="preserve">person</w:t>
      </w:r>
      <w:r>
        <w:t xml:space="preserve">, and</w:t>
      </w:r>
      <w:r>
        <w:t xml:space="preserve"> </w:t>
      </w:r>
      <w:r>
        <w:t xml:space="preserve">neither recorded which. A pelvic annotation placed on the other acquisition of a</w:t>
      </w:r>
      <w:r>
        <w:t xml:space="preserve"> </w:t>
      </w:r>
      <w:r>
        <w:t xml:space="preserve">prone/supine pair cannot be combined with the spine annotation without resampling across a</w:t>
      </w:r>
      <w:r>
        <w:t xml:space="preserve"> </w:t>
      </w:r>
      <w:r>
        <w:t xml:space="preserve">change of posture. Those records are retained rather than discarded, and held out of the</w:t>
      </w:r>
      <w:r>
        <w:t xml:space="preserve"> </w:t>
      </w:r>
      <w:r>
        <w:t xml:space="preserve">postural analyses, because two acquisitions of one patient differing in spinal alignment are</w:t>
      </w:r>
      <w:r>
        <w:t xml:space="preserve"> </w:t>
      </w:r>
      <w:r>
        <w:t xml:space="preserve">a resource for a mobility study rather than a defect.</w:t>
      </w:r>
    </w:p>
    <w:bookmarkEnd w:id="18"/>
    <w:bookmarkStart w:id="19" w:name="densification-and-why-it-is-asymmetric"/>
    <w:p>
      <w:pPr>
        <w:pStyle w:val="Heading2"/>
      </w:pPr>
      <w:r>
        <w:t xml:space="preserve">Densification, and why it is asymmetric</w:t>
      </w:r>
    </w:p>
    <w:p>
      <w:pPr>
        <w:pStyle w:val="FirstParagraph"/>
      </w:pPr>
      <w:r>
        <w:t xml:space="preserve">A corpus in which half the records lack a pelvis is not usable as a spinopelvic dataset, so</w:t>
      </w:r>
      <w:r>
        <w:t xml:space="preserve"> </w:t>
      </w:r>
      <w:r>
        <w:t xml:space="preserve">the missing structures were pseudolabeled — asymmetrically (Fig. S1),</w:t>
      </w:r>
      <w:r>
        <w:t xml:space="preserve"> </w:t>
      </w:r>
      <w:r>
        <w:t xml:space="preserve">because the two directions are not equivalent.</w:t>
      </w:r>
    </w:p>
    <w:p>
      <w:pPr>
        <w:pStyle w:val="BodyText"/>
      </w:pPr>
      <w:r>
        <w:t xml:space="preserve">Pelvis onto spine-only records is the safe direction. The sacrum and innominate bones are</w:t>
      </w:r>
      <w:r>
        <w:t xml:space="preserve"> </w:t>
      </w:r>
      <w:r>
        <w:t xml:space="preserve">single objects with no enumeration: no count to get wrong, no naming convention to choose,</w:t>
      </w:r>
      <w:r>
        <w:t xml:space="preserve"> </w:t>
      </w:r>
      <w:r>
        <w:t xml:space="preserve">no analog of a transitional vertebra. Quality is reported as held-out performance on the</w:t>
      </w:r>
      <w:r>
        <w:t xml:space="preserve"> </w:t>
      </w:r>
      <w:r>
        <w:rPr>
          <w:i/>
          <w:iCs/>
        </w:rPr>
        <w:t xml:space="preserve">pelvic_only</w:t>
      </w:r>
      <w:r>
        <w:t xml:space="preserve"> </w:t>
      </w:r>
      <w:r>
        <w:t xml:space="preserve">records, withheld from training for exactly this purpose.</w:t>
      </w:r>
    </w:p>
    <w:p>
      <w:pPr>
        <w:pStyle w:val="BodyText"/>
      </w:pPr>
      <w:r>
        <w:t xml:space="preserve">The reverse direction carries the whole problem this dataset exists to address, since a</w:t>
      </w:r>
      <w:r>
        <w:t xml:space="preserve"> </w:t>
      </w:r>
      <w:r>
        <w:t xml:space="preserve">pseudolabeled spine must commit to a vertebral count and on a transitional vertebra will</w:t>
      </w:r>
      <w:r>
        <w:t xml:space="preserve"> </w:t>
      </w:r>
      <w:r>
        <w:t xml:space="preserve">commit to the commoner reading. Those 20 records were therefore corrected by hand rather</w:t>
      </w:r>
      <w:r>
        <w:t xml:space="preserve"> </w:t>
      </w:r>
      <w:r>
        <w:t xml:space="preserve">than densified automatically — tractable at twenty cases, which is the practical reason</w:t>
      </w:r>
      <w:r>
        <w:t xml:space="preserve"> </w:t>
      </w:r>
      <w:r>
        <w:t xml:space="preserve">the asymmetry runs the way it does.</w:t>
      </w:r>
    </w:p>
    <w:bookmarkEnd w:id="19"/>
    <w:bookmarkStart w:id="20" w:name="ribs"/>
    <w:p>
      <w:pPr>
        <w:pStyle w:val="Heading2"/>
      </w:pPr>
      <w:r>
        <w:t xml:space="preserve">Ribs</w:t>
      </w:r>
    </w:p>
    <w:p>
      <w:pPr>
        <w:pStyle w:val="FirstParagraph"/>
      </w:pPr>
      <w:r>
        <w:t xml:space="preserve">No public rib annotation covers this cohort, and the two available automatic sources fail</w:t>
      </w:r>
      <w:r>
        <w:t xml:space="preserve"> </w:t>
      </w:r>
      <w:r>
        <w:t xml:space="preserve">in complementary ways.</w:t>
      </w:r>
    </w:p>
    <w:p>
      <w:pPr>
        <w:pStyle w:val="BodyText"/>
      </w:pPr>
      <w:r>
        <w:t xml:space="preserve">Möller’s binary rib network </w:t>
      </w:r>
      <w:r>
        <w:t xml:space="preserve"> </w:t>
      </w:r>
      <w:r>
        <w:t xml:space="preserve">is a detection model of high reported</w:t>
      </w:r>
      <w:r>
        <w:t xml:space="preserve"> </w:t>
      </w:r>
      <w:r>
        <w:t xml:space="preserve">accuracy, but it segments ribs that lie</w:t>
      </w:r>
      <w:r>
        <w:t xml:space="preserve"> </w:t>
      </w:r>
      <w:r>
        <w:rPr>
          <w:i/>
          <w:iCs/>
        </w:rPr>
        <w:t xml:space="preserve">entirely within</w:t>
      </w:r>
      <w:r>
        <w:t xml:space="preserve"> </w:t>
      </w:r>
      <w:r>
        <w:t xml:space="preserve">the field of view; a rib</w:t>
      </w:r>
      <w:r>
        <w:t xml:space="preserve"> </w:t>
      </w:r>
      <w:r>
        <w:t xml:space="preserve">clipped by the edge of an abdominal acquisition is liable to be missed altogether. Since</w:t>
      </w:r>
      <w:r>
        <w:t xml:space="preserve"> </w:t>
      </w:r>
      <w:r>
        <w:t xml:space="preserve">this is a colonography cohort, the lower ribs are routinely clipped, and those are</w:t>
      </w:r>
      <w:r>
        <w:t xml:space="preserve"> </w:t>
      </w:r>
      <w:r>
        <w:t xml:space="preserve">precisely the ribs the count depends on.</w:t>
      </w:r>
    </w:p>
    <w:p>
      <w:pPr>
        <w:pStyle w:val="BodyText"/>
      </w:pPr>
      <w:r>
        <w:t xml:space="preserve">TotalSegmentator </w:t>
      </w:r>
      <w:r>
        <w:t xml:space="preserve"> </w:t>
      </w:r>
      <w:r>
        <w:t xml:space="preserve">does segment clipped ribs and supplies the</w:t>
      </w:r>
      <w:r>
        <w:t xml:space="preserve"> </w:t>
      </w:r>
      <w:r>
        <w:t xml:space="preserve">per-rib numbering that a binary network cannot. Its characteristic failure is at the other</w:t>
      </w:r>
      <w:r>
        <w:t xml:space="preserve"> </w:t>
      </w:r>
      <w:r>
        <w:t xml:space="preserve">end of the bone: the most medial portion of the rib — roughly the last tenth to sixth</w:t>
      </w:r>
      <w:r>
        <w:t xml:space="preserve"> </w:t>
      </w:r>
      <w:r>
        <w:t xml:space="preserve">approaching the costovertebral joint — is frequently absent. A rib truncated at its</w:t>
      </w:r>
      <w:r>
        <w:t xml:space="preserve"> </w:t>
      </w:r>
      <w:r>
        <w:t xml:space="preserve">medial end never reaches the vertebra it articulates with, so the incidence test that</w:t>
      </w:r>
      <w:r>
        <w:t xml:space="preserve"> </w:t>
      </w:r>
      <w:r>
        <w:t xml:space="preserve">assigns a rib to its level has nothing to test.</w:t>
      </w:r>
    </w:p>
    <w:p>
      <w:pPr>
        <w:pStyle w:val="BodyText"/>
      </w:pPr>
      <w:r>
        <w:t xml:space="preserve">The two were therefore unioned (Fig. S1): TotalSegmentator supplies</w:t>
      </w:r>
      <w:r>
        <w:t xml:space="preserve"> </w:t>
      </w:r>
      <w:r>
        <w:t xml:space="preserve">numbering and the medial-clipped cases, Möller supplies detection where its output is more</w:t>
      </w:r>
      <w:r>
        <w:t xml:space="preserve"> </w:t>
      </w:r>
      <w:r>
        <w:t xml:space="preserve">complete, and the union carries TotalSegmentator’s per-level identities.</w:t>
      </w:r>
    </w:p>
    <w:p>
      <w:pPr>
        <w:pStyle w:val="BodyText"/>
      </w:pPr>
      <w:r>
        <w:t xml:space="preserve">The result is a pseudolabel whose review was triaged rather than exhaustive, which is worth</w:t>
      </w:r>
      <w:r>
        <w:t xml:space="preserve"> </w:t>
      </w:r>
      <w:r>
        <w:t xml:space="preserve">stating plainly because a layer described only as</w:t>
      </w:r>
      <w:r>
        <w:t xml:space="preserve"> </w:t>
      </w:r>
      <w:r>
        <w:t xml:space="preserve">“human-corrected”</w:t>
      </w:r>
      <w:r>
        <w:t xml:space="preserve"> </w:t>
      </w:r>
      <w:r>
        <w:t xml:space="preserve">invites the reader to</w:t>
      </w:r>
      <w:r>
        <w:t xml:space="preserve"> </w:t>
      </w:r>
      <w:r>
        <w:t xml:space="preserve">assume every bone was looked at. A label-based rule flagged every record in which one rib</w:t>
      </w:r>
      <w:r>
        <w:t xml:space="preserve"> </w:t>
      </w:r>
      <w:r>
        <w:t xml:space="preserve">bone carried more than one identifier, or in which a rib failed to reach the vertebra it</w:t>
      </w:r>
      <w:r>
        <w:t xml:space="preserve"> </w:t>
      </w:r>
      <w:r>
        <w:t xml:space="preserve">articulates with — a single bone with two numbers being a numbering error by construction,</w:t>
      </w:r>
      <w:r>
        <w:t xml:space="preserve"> </w:t>
      </w:r>
      <w:r>
        <w:t xml:space="preserve">whatever the anatomy. The rule selected 152 records; 148 were reviewed and corrected, and 4</w:t>
      </w:r>
      <w:r>
        <w:t xml:space="preserve"> </w:t>
      </w:r>
      <w:r>
        <w:t xml:space="preserve">were not and are identified in the release. Reviewers were medical students working through</w:t>
      </w:r>
      <w:r>
        <w:t xml:space="preserve"> </w:t>
      </w:r>
      <w:r>
        <w:t xml:space="preserve">OpenSpineConsortium </w:t>
      </w:r>
      <w:r>
        <w:t xml:space="preserve">, trained against a written labeling protocol, with every</w:t>
      </w:r>
      <w:r>
        <w:t xml:space="preserve"> </w:t>
      </w:r>
      <w:r>
        <w:t xml:space="preserve">correction recorded against the annotator who made it. Records passing the rule were not</w:t>
      </w:r>
      <w:r>
        <w:t xml:space="preserve"> </w:t>
      </w:r>
      <w:r>
        <w:t xml:space="preserve">individually inspected, so the layer’s guarantee is that it is free of the failure modes the</w:t>
      </w:r>
      <w:r>
        <w:t xml:space="preserve"> </w:t>
      </w:r>
      <w:r>
        <w:t xml:space="preserve">rule detects, and no stronger. The residual rib–vertebra offsets reported in</w:t>
      </w:r>
      <w:r>
        <w:t xml:space="preserve"> </w:t>
      </w:r>
      <w:r>
        <w:t xml:space="preserve">Sec. </w:t>
      </w:r>
      <w:hyperlink w:anchor="sec:validation">
        <w:r>
          <w:rPr>
            <w:rStyle w:val="Hyperlink"/>
          </w:rPr>
          <w:t xml:space="preserve">2.7</w:t>
        </w:r>
      </w:hyperlink>
      <w:r>
        <w:t xml:space="preserve"> </w:t>
      </w:r>
      <w:r>
        <w:t xml:space="preserve">are the independent check on what the rule missed.</w:t>
      </w:r>
    </w:p>
    <w:bookmarkEnd w:id="20"/>
    <w:bookmarkStart w:id="25" w:name="label-scheme-and-counting-anchors"/>
    <w:p>
      <w:pPr>
        <w:pStyle w:val="Heading2"/>
      </w:pPr>
      <w:r>
        <w:t xml:space="preserve">Label scheme and counting anchors</w:t>
      </w:r>
    </w:p>
    <w:p>
      <w:pPr>
        <w:pStyle w:val="FirstParagraph"/>
      </w:pPr>
      <w:r>
        <w:t xml:space="preserve">The scheme is VerSe-native: vertebrae keep their VerSe identifiers (C1–C7 = 1–7,</w:t>
      </w:r>
      <w:r>
        <w:t xml:space="preserve"> </w:t>
      </w:r>
      <w:r>
        <w:t xml:space="preserve">T1–T12 = 8–19, L1–L6 = 20–25, sacrum 26), and every non-VerSe structure takes a fixed</w:t>
      </w:r>
      <w:r>
        <w:t xml:space="preserve"> </w:t>
      </w:r>
      <w:r>
        <w:t xml:space="preserve">identifier above that range — S1 carved from the sacrum (29), hips (30–31), femora</w:t>
      </w:r>
      <w:r>
        <w:t xml:space="preserve"> </w:t>
      </w:r>
      <w:r>
        <w:t xml:space="preserve">(32–33), ribs (34–45 left, 46–57 right), soft tissue (58–73), lumbar ribs (74–75)</w:t>
      </w:r>
      <w:r>
        <w:t xml:space="preserve"> </w:t>
      </w:r>
      <w:r>
        <w:t xml:space="preserve">and surgical hardware (76–82).</w:t>
      </w:r>
    </w:p>
    <w:p>
      <w:pPr>
        <w:pStyle w:val="BodyText"/>
      </w:pPr>
      <w:r>
        <w:t xml:space="preserve">Two anchors make the count decidable, and Fig. </w:t>
      </w:r>
      <w:hyperlink w:anchor="fig:anchors">
        <w:r>
          <w:rPr>
            <w:rStyle w:val="Hyperlink"/>
          </w:rPr>
          <w:t xml:space="preserve">2</w:t>
        </w:r>
      </w:hyperlink>
      <w:r>
        <w:t xml:space="preserve"> </w:t>
      </w:r>
      <w:r>
        <w:t xml:space="preserve">shows both: the lowest</w:t>
      </w:r>
      <w:r>
        <w:t xml:space="preserve"> </w:t>
      </w:r>
      <w:r>
        <w:t xml:space="preserve">rib-bearing vertebra above,</w:t>
      </w:r>
      <w:r>
        <w:t xml:space="preserve"> </w:t>
      </w:r>
      <w:r>
        <w:rPr>
          <w:b/>
          <w:bCs/>
        </w:rPr>
        <w:t xml:space="preserve">S1</w:t>
      </w:r>
      <w:r>
        <w:t xml:space="preserve"> </w:t>
      </w:r>
      <w:r>
        <w:t xml:space="preserve">carved from the sacrum below. Each earns its place</w:t>
      </w:r>
      <w:r>
        <w:t xml:space="preserve"> </w:t>
      </w:r>
      <w:r>
        <w:t xml:space="preserve">by what it supports rather than by being an endpoint — S1 supplies the sacral endplate</w:t>
      </w:r>
      <w:r>
        <w:t xml:space="preserve"> </w:t>
      </w:r>
      <w:r>
        <w:t xml:space="preserve">landmark that sacral slope and pelvic incidence are measured from, and with both brackets</w:t>
      </w:r>
      <w:r>
        <w:t xml:space="preserve"> </w:t>
      </w:r>
      <w:r>
        <w:t xml:space="preserve">present L5 and L6 are distinguishable where a spine-limited view alone would not be.</w:t>
      </w:r>
    </w:p>
    <w:p>
      <w:pPr>
        <w:pStyle w:val="BodyText"/>
      </w:pPr>
      <w:r>
        <w:rPr>
          <w:i/>
          <w:iCs/>
        </w:rPr>
        <w:t xml:space="preserve">How S1 is cut.</w:t>
      </w:r>
      <w:r>
        <w:t xml:space="preserve"> </w:t>
      </w:r>
      <w:r>
        <w:t xml:space="preserve">The sacrum’s outer boundary is the source annotation and is never</w:t>
      </w:r>
      <w:r>
        <w:t xml:space="preserve"> </w:t>
      </w:r>
      <w:r>
        <w:t xml:space="preserve">altered; S1 is the cranial part of that same bone, separated by a plane. The plane’s normal</w:t>
      </w:r>
      <w:r>
        <w:t xml:space="preserve"> </w:t>
      </w:r>
      <w:r>
        <w:t xml:space="preserve">is the sacrum’s own cranio-caudal axis, made orthogonal to a left–right axis that is</w:t>
      </w:r>
      <w:r>
        <w:t xml:space="preserve"> </w:t>
      </w:r>
      <w:r>
        <w:t xml:space="preserve">measured rather than assumed — the normal of the reflection plane best mapping the sacrum</w:t>
      </w:r>
      <w:r>
        <w:t xml:space="preserve"> </w:t>
      </w:r>
      <w:r>
        <w:t xml:space="preserve">onto itself, which removes the patient’s rotation within the scanner. That rotation is not</w:t>
      </w:r>
      <w:r>
        <w:t xml:space="preserve"> </w:t>
      </w:r>
      <w:r>
        <w:t xml:space="preserve">negligible: median 4.5</w:t>
      </w:r>
      <m:oMath>
        <m:sSup>
          <m:e>
            <m:r>
              <m:t>​</m:t>
            </m:r>
          </m:e>
          <m:sup>
            <m:r>
              <m:rPr>
                <m:sty m:val="p"/>
              </m:rPr>
              <m:t>∘</m:t>
            </m:r>
          </m:sup>
        </m:sSup>
      </m:oMath>
      <w:r>
        <w:t xml:space="preserve">, maximum 16.1</w:t>
      </w:r>
      <m:oMath>
        <m:sSup>
          <m:e>
            <m:r>
              <m:t>​</m:t>
            </m:r>
          </m:e>
          <m:sup>
            <m:r>
              <m:rPr>
                <m:sty m:val="p"/>
              </m:rPr>
              <m:t>∘</m:t>
            </m:r>
          </m:sup>
        </m:sSup>
      </m:oMath>
      <w:r>
        <w:t xml:space="preserve">, and 508 of 801 records above</w:t>
      </w:r>
      <w:r>
        <w:t xml:space="preserve"> </w:t>
      </w:r>
      <w:r>
        <w:t xml:space="preserve">3</w:t>
      </w:r>
      <m:oMath>
        <m:sSup>
          <m:e>
            <m:r>
              <m:t>​</m:t>
            </m:r>
          </m:e>
          <m:sup>
            <m:r>
              <m:rPr>
                <m:sty m:val="p"/>
              </m:rPr>
              <m:t>∘</m:t>
            </m:r>
          </m:sup>
        </m:sSup>
      </m:oMath>
      <w:r>
        <w:t xml:space="preserve">. The level of the cut preserves the sub-division volume of the preceding</w:t>
      </w:r>
      <w:r>
        <w:t xml:space="preserve"> </w:t>
      </w:r>
      <w:r>
        <w:t xml:space="preserve">release, so the plane changes the shape and orientation of the S1/S2 boundary and not how</w:t>
      </w:r>
      <w:r>
        <w:t xml:space="preserve"> </w:t>
      </w:r>
      <w:r>
        <w:t xml:space="preserve">much of the sacrum is called S1. Per-record geometry ships with the archive.</w:t>
      </w:r>
    </w:p>
    <w:p>
      <w:pPr>
        <w:pStyle w:val="BodyText"/>
      </w:pPr>
      <w:r>
        <w:t xml:space="preserve">Neither anchor is novel: TotalSegmentator </w:t>
      </w:r>
      <w:r>
        <w:t xml:space="preserve"> </w:t>
      </w:r>
      <w:r>
        <w:t xml:space="preserve">carries a separate S1</w:t>
      </w:r>
      <w:r>
        <w:t xml:space="preserve"> </w:t>
      </w:r>
      <w:r>
        <w:t xml:space="preserve">class and per-level ribs, and VerSe </w:t>
      </w:r>
      <w:r>
        <w:t xml:space="preserve"> </w:t>
      </w:r>
      <w:r>
        <w:t xml:space="preserve">carries L6. Because this release uses</w:t>
      </w:r>
      <w:r>
        <w:t xml:space="preserve"> </w:t>
      </w:r>
      <w:r>
        <w:t xml:space="preserve">the VerSe identifiers, its L6</w:t>
      </w:r>
      <w:r>
        <w:t xml:space="preserve"> </w:t>
      </w:r>
      <w:r>
        <w:rPr>
          <w:i/>
          <w:iCs/>
        </w:rPr>
        <w:t xml:space="preserve">is</w:t>
      </w:r>
      <w:r>
        <w:t xml:space="preserve"> </w:t>
      </w:r>
      <w:r>
        <w:t xml:space="preserve">VerSe’s, interoperable rather than local to this</w:t>
      </w:r>
      <w:r>
        <w:t xml:space="preserve"> </w:t>
      </w:r>
      <w:r>
        <w:t xml:space="preserve">work. L6 is retained not for novelty but because a scheme without it cannot record a</w:t>
      </w:r>
      <w:r>
        <w:t xml:space="preserve"> </w:t>
      </w:r>
      <w:r>
        <w:t xml:space="preserve">six-lumbar spine at all, and must renumber the column or drop a level to fit.</w:t>
      </w:r>
    </w:p>
    <w:p>
      <w:pPr>
        <w:pStyle w:val="BodyText"/>
      </w:pPr>
      <w:r>
        <w:rPr>
          <w:b/>
          <w:bCs/>
        </w:rPr>
        <w:t xml:space="preserve">A rib on a lumbar body receives its own class</w:t>
      </w:r>
      <w:r>
        <w:t xml:space="preserve">, and this is the one class here with</w:t>
      </w:r>
      <w:r>
        <w:t xml:space="preserve"> </w:t>
      </w:r>
      <w:r>
        <w:t xml:space="preserve">no published counterpart. A lumbar rib and a stump rib are the same object under two counts,</w:t>
      </w:r>
      <w:r>
        <w:t xml:space="preserve"> </w:t>
      </w:r>
      <w:r>
        <w:t xml:space="preserve">so assigning it a number would commit the label to one reading of an enumeration anomaly. A</w:t>
      </w:r>
      <w:r>
        <w:t xml:space="preserve"> </w:t>
      </w:r>
      <w:r>
        <w:t xml:space="preserve">scheme that numbers every rib 1–12 has nowhere to put a thirteenth: the annotator must</w:t>
      </w:r>
      <w:r>
        <w:t xml:space="preserve"> </w:t>
      </w:r>
      <w:r>
        <w:t xml:space="preserve">either call it rib 12 — asserting the vertebra beneath it is thoracic, the very question at</w:t>
      </w:r>
      <w:r>
        <w:t xml:space="preserve"> </w:t>
      </w:r>
      <w:r>
        <w:t xml:space="preserve">issue — or discard it. TotalSegmentator carries ribs 1–12 per side and no such class, and</w:t>
      </w:r>
      <w:r>
        <w:t xml:space="preserve"> </w:t>
      </w:r>
      <w:r>
        <w:t xml:space="preserve">VerSe’s T13 is a vertebra rather than a rib. 16 released records carry a lumbar rib and 18</w:t>
      </w:r>
      <w:r>
        <w:t xml:space="preserve"> </w:t>
      </w:r>
      <w:r>
        <w:t xml:space="preserve">carry an L6.</w:t>
      </w:r>
    </w:p>
    <w:bookmarkStart w:id="24" w:name="fig:anchors"/>
    <w:p>
      <w:pPr>
        <w:pStyle w:val="CaptionedFigure"/>
      </w:pPr>
      <w:r>
        <w:drawing>
          <wp:inline>
            <wp:extent cx="5334000" cy="1576316"/>
            <wp:effectExtent b="0" l="0" r="0" t="0"/>
            <wp:docPr descr="" title="" id="22" name="Picture"/>
            <a:graphic>
              <a:graphicData uri="http://schemas.openxmlformats.org/drawingml/2006/picture">
                <pic:pic>
                  <pic:nvPicPr>
                    <pic:cNvPr descr="figures/fig_anchors.pdf" id="23" name="Picture"/>
                    <pic:cNvPicPr>
                      <a:picLocks noChangeArrowheads="1" noChangeAspect="1"/>
                    </pic:cNvPicPr>
                  </pic:nvPicPr>
                  <pic:blipFill>
                    <a:blip r:embed="rId21"/>
                    <a:stretch>
                      <a:fillRect/>
                    </a:stretch>
                  </pic:blipFill>
                  <pic:spPr bwMode="auto">
                    <a:xfrm>
                      <a:off x="0" y="0"/>
                      <a:ext cx="5334000" cy="1576316"/>
                    </a:xfrm>
                    <a:prstGeom prst="rect">
                      <a:avLst/>
                    </a:prstGeom>
                    <a:noFill/>
                    <a:ln w="9525">
                      <a:noFill/>
                      <a:headEnd/>
                      <a:tailEnd/>
                    </a:ln>
                  </pic:spPr>
                </pic:pic>
              </a:graphicData>
            </a:graphic>
          </wp:inline>
        </w:drawing>
      </w:r>
    </w:p>
    <w:p>
      <w:pPr>
        <w:pStyle w:val="ImageCaption"/>
      </w:pPr>
      <w:r>
        <w:t xml:space="preserve">The two anchors and the interval between them, from the released labels,</w:t>
      </w:r>
      <w:r>
        <w:t xml:space="preserve"> </w:t>
      </w:r>
      <w:r>
        <w:t xml:space="preserve">posterior view. Rostral anchor: the lowest rib-bearing vertebra and the rib that makes it</w:t>
      </w:r>
      <w:r>
        <w:t xml:space="preserve"> </w:t>
      </w:r>
      <w:r>
        <w:t xml:space="preserve">one. Caudal anchor: S1. Both are found from the labels rather than assumed, and panels are</w:t>
      </w:r>
      <w:r>
        <w:t xml:space="preserve"> </w:t>
      </w:r>
      <w:r>
        <w:t xml:space="preserve">colored by role rather than identifier, since coloring T12 would assert the count the</w:t>
      </w:r>
      <w:r>
        <w:t xml:space="preserve"> </w:t>
      </w:r>
      <w:r>
        <w:t xml:space="preserve">figure derives. Panels (b) and (c) reach the same interval of four from opposite ends and</w:t>
      </w:r>
      <w:r>
        <w:t xml:space="preserve"> </w:t>
      </w:r>
      <w:r>
        <w:t xml:space="preserve">are indistinguishable by it. All panels are at one millimeter scale, aligned at the sacral</w:t>
      </w:r>
      <w:r>
        <w:t xml:space="preserve"> </w:t>
      </w:r>
      <w:r>
        <w:t xml:space="preserve">base.</w:t>
      </w:r>
    </w:p>
    <w:bookmarkEnd w:id="24"/>
    <w:p>
      <w:pPr>
        <w:pStyle w:val="BodyText"/>
      </w:pPr>
      <w:r>
        <w:t xml:space="preserve">Figure </w:t>
      </w:r>
      <w:hyperlink w:anchor="fig:anchors">
        <w:r>
          <w:rPr>
            <w:rStyle w:val="Hyperlink"/>
          </w:rPr>
          <w:t xml:space="preserve">2</w:t>
        </w:r>
      </w:hyperlink>
      <w:r>
        <w:t xml:space="preserve"> </w:t>
      </w:r>
      <w:r>
        <w:t xml:space="preserve">shows why the interval is the primitive and the label is derived.</w:t>
      </w:r>
      <w:r>
        <w:t xml:space="preserve"> </w:t>
      </w:r>
      <w:r>
        <w:t xml:space="preserve">Among the records with four rib-free vertebrae, some reach that count through a lumbar rib</w:t>
      </w:r>
      <w:r>
        <w:t xml:space="preserve"> </w:t>
      </w:r>
      <w:r>
        <w:t xml:space="preserve">and some without one; the two are indistinguishable by the count alone and are distinguished</w:t>
      </w:r>
      <w:r>
        <w:t xml:space="preserve"> </w:t>
      </w:r>
      <w:r>
        <w:t xml:space="preserve">here only because rib presence is itself labeled.</w:t>
      </w:r>
    </w:p>
    <w:p>
      <w:pPr>
        <w:pStyle w:val="BodyText"/>
      </w:pPr>
      <w:r>
        <w:t xml:space="preserve">Sixteen records carry a lumbar rib in the released volumes: thirteen bilateral and three</w:t>
      </w:r>
      <w:r>
        <w:t xml:space="preserve"> </w:t>
      </w:r>
      <w:r>
        <w:t xml:space="preserve">unilateral, all three on the right. That laterality is reported because it is what the</w:t>
      </w:r>
      <w:r>
        <w:t xml:space="preserve"> </w:t>
      </w:r>
      <w:r>
        <w:t xml:space="preserve">release contains and not as a finding — sixteen records cannot support a statement about</w:t>
      </w:r>
      <w:r>
        <w:t xml:space="preserve"> </w:t>
      </w:r>
      <w:r>
        <w:t xml:space="preserve">side preference, and none is made.</w:t>
      </w:r>
    </w:p>
    <w:p>
      <w:pPr>
        <w:pStyle w:val="BodyText"/>
      </w:pPr>
      <w:r>
        <w:t xml:space="preserve">Eighteen records carry an L6. Fourteen are labeled lumbarization, two sacralization, one</w:t>
      </w:r>
      <w:r>
        <w:t xml:space="preserve"> </w:t>
      </w:r>
      <w:r>
        <w:t xml:space="preserve">semi-sacralization and one normal, which is worth stating because it shows the two annotation</w:t>
      </w:r>
      <w:r>
        <w:t xml:space="preserve"> </w:t>
      </w:r>
      <w:r>
        <w:t xml:space="preserve">axes disagreeing in the open: a record can carry six lumbar-type vertebrae and still be read</w:t>
      </w:r>
      <w:r>
        <w:t xml:space="preserve"> </w:t>
      </w:r>
      <w:r>
        <w:t xml:space="preserve">as a sacralization, or as unremarkable, depending on where the reader started the count.</w:t>
      </w:r>
    </w:p>
    <w:p>
      <w:pPr>
        <w:pStyle w:val="BodyText"/>
      </w:pPr>
      <w:r>
        <w:t xml:space="preserve">Both counts are derived from the released label volumes, and so are the manifest fields</w:t>
      </w:r>
      <w:r>
        <w:t xml:space="preserve"> </w:t>
      </w:r>
      <w:r>
        <w:t xml:space="preserve">that report them. That is a correction rather than a design note: through v5 the</w:t>
      </w:r>
      <w:r>
        <w:t xml:space="preserve"> </w:t>
      </w:r>
      <w:r>
        <w:rPr>
          <w:rStyle w:val="VerbatimChar"/>
        </w:rPr>
        <w:t xml:space="preserve">has_l6</w:t>
      </w:r>
      <w:r>
        <w:t xml:space="preserve"> </w:t>
      </w:r>
      <w:r>
        <w:t xml:space="preserve">flag was true for exactly one record, which contains no L6, and false for</w:t>
      </w:r>
      <w:r>
        <w:t xml:space="preserve"> </w:t>
      </w:r>
      <w:r>
        <w:t xml:space="preserve">all eighteen that do, while</w:t>
      </w:r>
      <w:r>
        <w:t xml:space="preserve"> </w:t>
      </w:r>
      <w:r>
        <w:rPr>
          <w:rStyle w:val="VerbatimChar"/>
        </w:rPr>
        <w:t xml:space="preserve">has_lumbar_rib</w:t>
      </w:r>
      <w:r>
        <w:t xml:space="preserve"> </w:t>
      </w:r>
      <w:r>
        <w:t xml:space="preserve">was false everywhere and</w:t>
      </w:r>
      <w:r>
        <w:t xml:space="preserve"> </w:t>
      </w:r>
      <w:r>
        <w:rPr>
          <w:rStyle w:val="VerbatimChar"/>
        </w:rPr>
        <w:t xml:space="preserve">n_lumbar_labels</w:t>
      </w:r>
      <w:r>
        <w:t xml:space="preserve"> </w:t>
      </w:r>
      <w:r>
        <w:t xml:space="preserve">read zero in 799 of 802 records. A reader selecting the six-lumbar</w:t>
      </w:r>
      <w:r>
        <w:t xml:space="preserve"> </w:t>
      </w:r>
      <w:r>
        <w:t xml:space="preserve">cases on those fields would have received one record that is not one, and a reader selecting</w:t>
      </w:r>
      <w:r>
        <w:t xml:space="preserve"> </w:t>
      </w:r>
      <w:r>
        <w:t xml:space="preserve">lumbar ribs an empty set, with nothing to indicate either. The fields are rebuilt for this</w:t>
      </w:r>
      <w:r>
        <w:t xml:space="preserve"> </w:t>
      </w:r>
      <w:r>
        <w:t xml:space="preserve">release by counting identifiers 25 and 74–75 in each volume, and</w:t>
      </w:r>
      <w:r>
        <w:t xml:space="preserve"> </w:t>
      </w:r>
      <w:r>
        <w:rPr>
          <w:rStyle w:val="VerbatimChar"/>
        </w:rPr>
        <w:t xml:space="preserve">lumbar_rib_side</w:t>
      </w:r>
      <w:r>
        <w:t xml:space="preserve"> </w:t>
      </w:r>
      <w:r>
        <w:t xml:space="preserve">is added alongside them.</w:t>
      </w:r>
    </w:p>
    <w:bookmarkEnd w:id="25"/>
    <w:bookmarkStart w:id="26" w:name="computational-tools"/>
    <w:p>
      <w:pPr>
        <w:pStyle w:val="Heading2"/>
      </w:pPr>
      <w:r>
        <w:t xml:space="preserve">Computational tools</w:t>
      </w:r>
    </w:p>
    <w:p>
      <w:pPr>
        <w:pStyle w:val="FirstParagraph"/>
      </w:pPr>
      <w:r>
        <w:rPr>
          <w:i/>
          <w:iCs/>
        </w:rPr>
        <w:t xml:space="preserve">Access.</w:t>
      </w:r>
      <w:r>
        <w:t xml:space="preserve"> </w:t>
      </w:r>
      <w:r>
        <w:t xml:space="preserve">Every processing step described above is performed by code released under an</w:t>
      </w:r>
      <w:r>
        <w:t xml:space="preserve"> </w:t>
      </w:r>
      <w:r>
        <w:t xml:space="preserve">open-source licence and archived with the dataset; no step depends on software that is not</w:t>
      </w:r>
      <w:r>
        <w:t xml:space="preserve"> </w:t>
      </w:r>
      <w:r>
        <w:t xml:space="preserve">publicly obtainable. The release archive carries the reference loader, the label-scheme</w:t>
      </w:r>
      <w:r>
        <w:t xml:space="preserve"> </w:t>
      </w:r>
      <w:r>
        <w:t xml:space="preserve">definition and the quality-control scripts that generated the tables in this manuscript.</w:t>
      </w:r>
    </w:p>
    <w:p>
      <w:pPr>
        <w:pStyle w:val="BodyText"/>
      </w:pPr>
      <w:r>
        <w:rPr>
          <w:i/>
          <w:iCs/>
        </w:rPr>
        <w:t xml:space="preserve">Versions and parameters.</w:t>
      </w:r>
      <w:r>
        <w:t xml:space="preserve"> </w:t>
      </w:r>
      <w:r>
        <w:t xml:space="preserve">Segmentation of femora, the sacral sub-division and the</w:t>
      </w:r>
      <w:r>
        <w:t xml:space="preserve"> </w:t>
      </w:r>
      <w:r>
        <w:t xml:space="preserve">per-level rib numbering used TotalSegmentator </w:t>
      </w:r>
      <w:r>
        <w:t xml:space="preserve"> </w:t>
      </w:r>
      <w:r>
        <w:t xml:space="preserve">(</w:t>
      </w:r>
      <w:r>
        <w:rPr>
          <w:rStyle w:val="VerbatimChar"/>
        </w:rPr>
        <w:t xml:space="preserve">total</w:t>
      </w:r>
      <w:r>
        <w:t xml:space="preserve"> </w:t>
      </w:r>
      <w:r>
        <w:t xml:space="preserve">task,</w:t>
      </w:r>
      <w:r>
        <w:t xml:space="preserve"> </w:t>
      </w:r>
      <w:r>
        <w:t xml:space="preserve">release 2.x) on a single graphics processing unit. The binary rib network is</w:t>
      </w:r>
      <w:r>
        <w:t xml:space="preserve"> </w:t>
      </w:r>
      <w:r>
        <w:t xml:space="preserve">Möller’s </w:t>
      </w:r>
      <w:r>
        <w:t xml:space="preserve"> </w:t>
      </w:r>
      <w:r>
        <w:t xml:space="preserve">released weights, applied through the nnU-Net v2</w:t>
      </w:r>
      <w:r>
        <w:t xml:space="preserve"> </w:t>
      </w:r>
      <w:r>
        <w:t xml:space="preserve">framework </w:t>
      </w:r>
      <w:r>
        <w:t xml:space="preserve">. The pelvic completion for records whose pelvis was absent used a</w:t>
      </w:r>
      <w:r>
        <w:t xml:space="preserve"> </w:t>
      </w:r>
      <w:r>
        <w:t xml:space="preserve">five-fold nnU-Net v2 ensemble, applied out-of-fold: each record is completed by the fold that</w:t>
      </w:r>
      <w:r>
        <w:t xml:space="preserve"> </w:t>
      </w:r>
      <w:r>
        <w:t xml:space="preserve">never trained on it, so no record is completed by a model that has seen it. Image handling</w:t>
      </w:r>
      <w:r>
        <w:t xml:space="preserve"> </w:t>
      </w:r>
      <w:r>
        <w:t xml:space="preserve">throughout used NiBabel and SciPy; no image is resampled or reoriented when a label is</w:t>
      </w:r>
      <w:r>
        <w:t xml:space="preserve"> </w:t>
      </w:r>
      <w:r>
        <w:t xml:space="preserve">written, so every label shares its image’s grid and affine exactly.</w:t>
      </w:r>
    </w:p>
    <w:p>
      <w:pPr>
        <w:pStyle w:val="BodyText"/>
      </w:pPr>
      <w:r>
        <w:rPr>
          <w:i/>
          <w:iCs/>
        </w:rPr>
        <w:t xml:space="preserve">Generative artificial intelligence.</w:t>
      </w:r>
      <w:r>
        <w:t xml:space="preserve"> </w:t>
      </w:r>
      <w:r>
        <w:t xml:space="preserve">Large-language-model assistance was used for</w:t>
      </w:r>
      <w:r>
        <w:t xml:space="preserve"> </w:t>
      </w:r>
      <w:r>
        <w:t xml:space="preserve">manuscript preparation — drafting and editing of text, and generation of analysis and</w:t>
      </w:r>
      <w:r>
        <w:t xml:space="preserve"> </w:t>
      </w:r>
      <w:r>
        <w:t xml:space="preserve">figure code — under author review. It was not used to generate, annotate or interpret any</w:t>
      </w:r>
      <w:r>
        <w:t xml:space="preserve"> </w:t>
      </w:r>
      <w:r>
        <w:t xml:space="preserve">imaging data, and no scientific claim in this manuscript originates from it. All numbers</w:t>
      </w:r>
      <w:r>
        <w:t xml:space="preserve"> </w:t>
      </w:r>
      <w:r>
        <w:t xml:space="preserve">reported here are computed by the released code from the released volumes.</w:t>
      </w:r>
    </w:p>
    <w:bookmarkEnd w:id="26"/>
    <w:bookmarkStart w:id="27" w:name="sec:validation"/>
    <w:p>
      <w:pPr>
        <w:pStyle w:val="Heading2"/>
      </w:pPr>
      <w:r>
        <w:t xml:space="preserve">Validation</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left"/>
            </w:pPr>
            <w:r>
              <w:t xml:space="preserve">Check</w:t>
            </w:r>
          </w:p>
        </w:tc>
        <w:tc>
          <w:tcPr/>
          <w:p>
            <w:pPr>
              <w:pStyle w:val="Compact"/>
              <w:jc w:val="right"/>
            </w:pPr>
            <w:r>
              <w:t xml:space="preserve">Result</w:t>
            </w:r>
          </w:p>
        </w:tc>
      </w:tr>
      <w:tr>
        <w:tc>
          <w:tcPr/>
          <w:p>
            <w:pPr>
              <w:pStyle w:val="Compact"/>
              <w:jc w:val="left"/>
            </w:pPr>
            <w:r>
              <w:t xml:space="preserve">Geometric invariants (all cases)</w:t>
            </w:r>
          </w:p>
        </w:tc>
        <w:tc>
          <w:tcPr/>
          <w:p>
            <w:pPr>
              <w:pStyle w:val="Compact"/>
              <w:jc w:val="right"/>
            </w:pPr>
            <w:r>
              <w:t xml:space="preserve">802/802 pass</w:t>
            </w:r>
          </w:p>
        </w:tc>
      </w:tr>
      <w:tr>
        <w:tc>
          <w:tcPr/>
          <w:p>
            <w:pPr>
              <w:pStyle w:val="Compact"/>
              <w:jc w:val="left"/>
            </w:pPr>
            <w:r>
              <w:t xml:space="preserve">label shape, affine, spacing match CT</w:t>
            </w:r>
          </w:p>
        </w:tc>
        <w:tc>
          <w:tcPr/>
          <w:p>
            <w:pPr>
              <w:pStyle w:val="Compact"/>
              <w:jc w:val="right"/>
            </w:pPr>
            <w:r>
              <w:t xml:space="preserve">—</w:t>
            </w:r>
          </w:p>
        </w:tc>
      </w:tr>
      <w:tr>
        <w:tc>
          <w:tcPr/>
          <w:p>
            <w:pPr>
              <w:pStyle w:val="Compact"/>
              <w:jc w:val="left"/>
            </w:pPr>
            <w:r>
              <w:t xml:space="preserve">no identifier outside the scheme</w:t>
            </w:r>
          </w:p>
        </w:tc>
        <w:tc>
          <w:tcPr/>
          <w:p>
            <w:pPr>
              <w:pStyle w:val="Compact"/>
              <w:jc w:val="right"/>
            </w:pPr>
            <w:r>
              <w:t xml:space="preserve">—</w:t>
            </w:r>
          </w:p>
        </w:tc>
      </w:tr>
      <w:tr>
        <w:tc>
          <w:tcPr/>
          <w:p>
            <w:pPr>
              <w:pStyle w:val="Compact"/>
              <w:jc w:val="left"/>
            </w:pPr>
            <w:r>
              <w:t xml:space="preserve">left/right structures correctly sided</w:t>
            </w:r>
          </w:p>
        </w:tc>
        <w:tc>
          <w:tcPr/>
          <w:p>
            <w:pPr>
              <w:pStyle w:val="Compact"/>
              <w:jc w:val="right"/>
            </w:pPr>
            <w:r>
              <w:t xml:space="preserve">—</w:t>
            </w:r>
          </w:p>
        </w:tc>
      </w:tr>
      <w:tr>
        <w:tc>
          <w:tcPr/>
          <w:p>
            <w:pPr>
              <w:pStyle w:val="Compact"/>
              <w:jc w:val="left"/>
            </w:pPr>
            <w:r>
              <w:t xml:space="preserve">Ribs present</w:t>
            </w:r>
          </w:p>
        </w:tc>
        <w:tc>
          <w:tcPr/>
          <w:p>
            <w:pPr>
              <w:pStyle w:val="Compact"/>
              <w:jc w:val="right"/>
            </w:pPr>
            <w:r>
              <w:t xml:space="preserve">11</w:t>
            </w:r>
            <w:r>
              <w:t xml:space="preserve">,</w:t>
            </w:r>
            <w:r>
              <w:t xml:space="preserve">548</w:t>
            </w:r>
          </w:p>
        </w:tc>
      </w:tr>
      <w:tr>
        <w:tc>
          <w:tcPr/>
          <w:p>
            <w:pPr>
              <w:pStyle w:val="Compact"/>
              <w:jc w:val="left"/>
            </w:pPr>
            <w:r>
              <w:t xml:space="preserve">not evaluable (expected vertebra outside the FOV)</w:t>
            </w:r>
          </w:p>
        </w:tc>
        <w:tc>
          <w:tcPr/>
          <w:p>
            <w:pPr>
              <w:pStyle w:val="Compact"/>
              <w:jc w:val="right"/>
            </w:pPr>
            <w:r>
              <w:t xml:space="preserve">5</w:t>
            </w:r>
            <w:r>
              <w:t xml:space="preserve">,</w:t>
            </w:r>
            <w:r>
              <w:t xml:space="preserve">788</w:t>
            </w:r>
          </w:p>
        </w:tc>
      </w:tr>
      <w:tr>
        <w:tc>
          <w:tcPr/>
          <w:p>
            <w:pPr>
              <w:pStyle w:val="Compact"/>
              <w:jc w:val="left"/>
            </w:pPr>
            <w:r>
              <w:t xml:space="preserve">no vertebra within the anchor distance</w:t>
            </w:r>
          </w:p>
        </w:tc>
        <w:tc>
          <w:tcPr/>
          <w:p>
            <w:pPr>
              <w:pStyle w:val="Compact"/>
              <w:jc w:val="right"/>
            </w:pPr>
            <w:r>
              <w:t xml:space="preserve">11</w:t>
            </w:r>
          </w:p>
        </w:tc>
      </w:tr>
      <w:tr>
        <w:tc>
          <w:tcPr/>
          <w:p>
            <w:pPr>
              <w:pStyle w:val="Compact"/>
              <w:jc w:val="left"/>
            </w:pPr>
            <w:r>
              <w:rPr>
                <w:b/>
                <w:bCs/>
              </w:rPr>
              <w:t xml:space="preserve">evaluable</w:t>
            </w:r>
          </w:p>
        </w:tc>
        <w:tc>
          <w:tcPr/>
          <w:p>
            <w:pPr>
              <w:pStyle w:val="Compact"/>
              <w:jc w:val="right"/>
            </w:pPr>
            <w:r>
              <w:rPr>
                <w:b/>
                <w:bCs/>
              </w:rPr>
              <w:t xml:space="preserve">5</w:t>
            </w:r>
            <w:r>
              <w:rPr>
                <w:b/>
                <w:bCs/>
              </w:rPr>
              <w:t xml:space="preserve">,</w:t>
            </w:r>
            <w:r>
              <w:rPr>
                <w:b/>
                <w:bCs/>
              </w:rPr>
              <w:t xml:space="preserve">749</w:t>
            </w:r>
          </w:p>
        </w:tc>
      </w:tr>
      <w:tr>
        <w:tc>
          <w:tcPr/>
          <w:p>
            <w:pPr>
              <w:pStyle w:val="Compact"/>
              <w:jc w:val="left"/>
            </w:pPr>
            <w:r>
              <w:t xml:space="preserve">matching the expected vertebra</w:t>
            </w:r>
          </w:p>
        </w:tc>
        <w:tc>
          <w:tcPr/>
          <w:p>
            <w:pPr>
              <w:pStyle w:val="Compact"/>
              <w:jc w:val="right"/>
            </w:pPr>
            <w:r>
              <w:t xml:space="preserve">5</w:t>
            </w:r>
            <w:r>
              <w:t xml:space="preserve">,</w:t>
            </w:r>
            <w:r>
              <w:t xml:space="preserve">747</w:t>
            </w:r>
          </w:p>
        </w:tc>
      </w:tr>
      <w:tr>
        <w:tc>
          <w:tcPr/>
          <w:p>
            <w:pPr>
              <w:pStyle w:val="Compact"/>
              <w:jc w:val="left"/>
            </w:pPr>
            <w:r>
              <w:t xml:space="preserve">residual offset</w:t>
            </w:r>
          </w:p>
        </w:tc>
        <w:tc>
          <w:tcPr/>
          <w:p>
            <w:pPr>
              <w:pStyle w:val="Compact"/>
              <w:jc w:val="right"/>
            </w:pPr>
            <w:r>
              <w:t xml:space="preserve">2 (0.035% of evaluable)</w:t>
            </w:r>
          </w:p>
        </w:tc>
      </w:tr>
      <w:tr>
        <w:tc>
          <w:tcPr/>
          <w:p>
            <w:pPr>
              <w:pStyle w:val="Compact"/>
              <w:jc w:val="left"/>
            </w:pPr>
            <w:r>
              <w:t xml:space="preserve">misnumbered cases</w:t>
            </w:r>
          </w:p>
        </w:tc>
        <w:tc>
          <w:tcPr/>
          <w:p>
            <w:pPr>
              <w:pStyle w:val="Compact"/>
              <w:jc w:val="right"/>
            </w:pPr>
            <w:r>
              <w:t xml:space="preserve">0</w:t>
            </w:r>
          </w:p>
        </w:tc>
      </w:tr>
      <w:tr>
        <w:tc>
          <w:tcPr/>
          <w:p>
            <w:pPr>
              <w:pStyle w:val="Compact"/>
              <w:jc w:val="left"/>
            </w:pPr>
            <w:r>
              <w:t xml:space="preserve">Spinopelvic medians within published range</w:t>
            </w:r>
          </w:p>
        </w:tc>
        <w:tc>
          <w:tcPr/>
          <w:p>
            <w:pPr>
              <w:pStyle w:val="Compact"/>
              <w:jc w:val="right"/>
            </w:pPr>
            <w:r>
              <w:t xml:space="preserve">6/6</w:t>
            </w:r>
          </w:p>
        </w:tc>
      </w:tr>
    </w:tbl>
    <w:p>
      <w:pPr>
        <w:pStyle w:val="BodyText"/>
      </w:pPr>
      <w:r>
        <w:t xml:space="preserve">Validation is layered, and the ordering matters: measurements computed on a corpus that</w:t>
      </w:r>
      <w:r>
        <w:t xml:space="preserve"> </w:t>
      </w:r>
      <w:r>
        <w:t xml:space="preserve">has not established internal consistency do not look broken, they look finished.</w:t>
      </w:r>
    </w:p>
    <w:p>
      <w:pPr>
        <w:pStyle w:val="BodyText"/>
      </w:pPr>
      <w:r>
        <w:rPr>
          <w:i/>
          <w:iCs/>
        </w:rPr>
        <w:t xml:space="preserve">Geometric invariants.</w:t>
      </w:r>
      <w:r>
        <w:t xml:space="preserve"> </w:t>
      </w:r>
      <w:r>
        <w:t xml:space="preserve">Every case is checked for label geometry agreeing with its CT</w:t>
      </w:r>
      <w:r>
        <w:t xml:space="preserve"> </w:t>
      </w:r>
      <w:r>
        <w:t xml:space="preserve">in shape, affine and voxel spacing; for identifiers within the published scheme; for a</w:t>
      </w:r>
      <w:r>
        <w:t xml:space="preserve"> </w:t>
      </w:r>
      <w:r>
        <w:t xml:space="preserve">non-empty label; and for sided structures falling on the correct sides, with the left–right</w:t>
      </w:r>
      <w:r>
        <w:t xml:space="preserve"> </w:t>
      </w:r>
      <w:r>
        <w:t xml:space="preserve">axis read from the affine rather than assumed. The check exists because a renumbering pass</w:t>
      </w:r>
      <w:r>
        <w:t xml:space="preserve"> </w:t>
      </w:r>
      <w:r>
        <w:t xml:space="preserve">once wrote a reoriented array under a canonical affine and transposed a label away from its</w:t>
      </w:r>
      <w:r>
        <w:t xml:space="preserve"> </w:t>
      </w:r>
      <w:r>
        <w:t xml:space="preserve">image, a failure invisible downstream.</w:t>
      </w:r>
    </w:p>
    <w:p>
      <w:pPr>
        <w:pStyle w:val="BodyText"/>
      </w:pPr>
      <w:r>
        <w:t xml:space="preserve">The check compares</w:t>
      </w:r>
      <w:r>
        <w:t xml:space="preserve"> </w:t>
      </w:r>
      <w:r>
        <w:rPr>
          <w:i/>
          <w:iCs/>
        </w:rPr>
        <w:t xml:space="preserve">each sided pair separately</w:t>
      </w:r>
      <w:r>
        <w:t xml:space="preserve">, and both simpler alternatives miss</w:t>
      </w:r>
      <w:r>
        <w:t xml:space="preserve"> </w:t>
      </w:r>
      <w:r>
        <w:t xml:space="preserve">cases it catches. Testing the ribs alone passed all 802 records while four of them carried</w:t>
      </w:r>
      <w:r>
        <w:t xml:space="preserve"> </w:t>
      </w:r>
      <w:r>
        <w:rPr>
          <w:rStyle w:val="VerbatimChar"/>
        </w:rPr>
        <w:t xml:space="preserve">left_hip</w:t>
      </w:r>
      <w:r>
        <w:t xml:space="preserve"> </w:t>
      </w:r>
      <w:r>
        <w:t xml:space="preserve">on the patient’s right. Pooling all sided structures into one test</w:t>
      </w:r>
      <w:r>
        <w:t xml:space="preserve"> </w:t>
      </w:r>
      <w:r>
        <w:t xml:space="preserve">recovered three of those four and missed the fourth, because hips and femora outweigh the</w:t>
      </w:r>
      <w:r>
        <w:t xml:space="preserve"> </w:t>
      </w:r>
      <w:r>
        <w:t xml:space="preserve">ribs by voxel count, so a large correctly-sided structure masks a smaller transposed one. A</w:t>
      </w:r>
      <w:r>
        <w:t xml:space="preserve"> </w:t>
      </w:r>
      <w:r>
        <w:t xml:space="preserve">gate that passes everything is not evidence of a clean corpus until it has been shown capable</w:t>
      </w:r>
      <w:r>
        <w:t xml:space="preserve"> </w:t>
      </w:r>
      <w:r>
        <w:t xml:space="preserve">of failing.</w:t>
      </w:r>
    </w:p>
    <w:p>
      <w:pPr>
        <w:pStyle w:val="BodyText"/>
      </w:pPr>
      <w:r>
        <w:rPr>
          <w:i/>
          <w:iCs/>
        </w:rPr>
        <w:t xml:space="preserve">Rib–vertebra incidence.</w:t>
      </w:r>
      <w:r>
        <w:t xml:space="preserve"> </w:t>
      </w:r>
      <w:r>
        <w:t xml:space="preserve">Each rib is matched to its nearest vertebra and compared</w:t>
      </w:r>
      <w:r>
        <w:t xml:space="preserve"> </w:t>
      </w:r>
      <w:r>
        <w:t xml:space="preserve">against the vertebra its number implies; the chain is given in Table </w:t>
      </w:r>
      <w:hyperlink w:anchor="tab:qc">
        <w:r>
          <w:rPr>
            <w:rStyle w:val="Hyperlink"/>
          </w:rPr>
          <w:t xml:space="preserve">[tab:qc]</w:t>
        </w:r>
      </w:hyperlink>
      <w:r>
        <w:t xml:space="preserve">. The</w:t>
      </w:r>
      <w:r>
        <w:t xml:space="preserve"> </w:t>
      </w:r>
      <w:r>
        <w:t xml:space="preserve">denominator is stated there rather than only the numerator because quoting the two residual</w:t>
      </w:r>
      <w:r>
        <w:t xml:space="preserve"> </w:t>
      </w:r>
      <w:r>
        <w:t xml:space="preserve">offsets against all 11</w:t>
      </w:r>
      <w:r>
        <w:t xml:space="preserve">,</w:t>
      </w:r>
      <w:r>
        <w:t xml:space="preserve">548 ribs would halve the rate by counting ribs the check never</w:t>
      </w:r>
      <w:r>
        <w:t xml:space="preserve"> </w:t>
      </w:r>
      <w:r>
        <w:t xml:space="preserve">examined — and because more than half the ribs in a screening abdominal CT being</w:t>
      </w:r>
      <w:r>
        <w:t xml:space="preserve"> </w:t>
      </w:r>
      <w:r>
        <w:t xml:space="preserve">unevaluable is itself a fact about the corpus worth reporting. Both offsets are</w:t>
      </w:r>
      <w:r>
        <w:t xml:space="preserve"> </w:t>
      </w:r>
      <w:r>
        <w:t xml:space="preserve">field-of-view truncations on individually characterized cases, one at</w:t>
      </w:r>
      <w:r>
        <w:t xml:space="preserve"> </w:t>
      </w:r>
      <m:oMath>
        <m:r>
          <m:rPr>
            <m:sty m:val="p"/>
          </m:rPr>
          <m:t>+</m:t>
        </m:r>
        <m:r>
          <m:t>1</m:t>
        </m:r>
      </m:oMath>
      <w:r>
        <w:t xml:space="preserve"> </w:t>
      </w:r>
      <w:r>
        <w:t xml:space="preserve">level and one at</w:t>
      </w:r>
      <w:r>
        <w:t xml:space="preserve"> </w:t>
      </w:r>
      <m:oMath>
        <m:r>
          <m:rPr>
            <m:sty m:val="p"/>
          </m:rPr>
          <m:t>−</m:t>
        </m:r>
        <m:r>
          <m:t>1</m:t>
        </m:r>
      </m:oMath>
      <w:r>
        <w:t xml:space="preserve">, and are reported rather than suppressed: a threshold tuned until the count reaches</w:t>
      </w:r>
      <w:r>
        <w:t xml:space="preserve"> </w:t>
      </w:r>
      <w:r>
        <w:t xml:space="preserve">zero yields a cleaner number and a less informative one.</w:t>
      </w:r>
    </w:p>
    <w:p>
      <w:pPr>
        <w:pStyle w:val="BodyText"/>
      </w:pPr>
      <w:r>
        <w:t xml:space="preserve">The same check carries an invariant that reads as a null result. Of the 5</w:t>
      </w:r>
      <w:r>
        <w:t xml:space="preserve">,</w:t>
      </w:r>
      <w:r>
        <w:t xml:space="preserve">749 evaluable</w:t>
      </w:r>
      <w:r>
        <w:t xml:space="preserve"> </w:t>
      </w:r>
      <w:r>
        <w:t xml:space="preserve">ribs,</w:t>
      </w:r>
      <w:r>
        <w:t xml:space="preserve"> </w:t>
      </w:r>
      <w:r>
        <w:rPr>
          <w:i/>
          <w:iCs/>
        </w:rPr>
        <w:t xml:space="preserve">zero</w:t>
      </w:r>
      <w:r>
        <w:t xml:space="preserve"> </w:t>
      </w:r>
      <w:r>
        <w:t xml:space="preserve">are assigned to a lumbar vertebra — not because no lumbar ribs exist,</w:t>
      </w:r>
      <w:r>
        <w:t xml:space="preserve"> </w:t>
      </w:r>
      <w:r>
        <w:t xml:space="preserve">since 16 records carry one, but because such a rib takes class 74 or 75 and never enters the</w:t>
      </w:r>
      <w:r>
        <w:t xml:space="preserve"> </w:t>
      </w:r>
      <w:r>
        <w:t xml:space="preserve">numbered set the test examines. A numbered rib landing on a lumbar vertebra would be a</w:t>
      </w:r>
      <w:r>
        <w:t xml:space="preserve"> </w:t>
      </w:r>
      <w:r>
        <w:t xml:space="preserve">counting error of exactly the kind this dataset exists to expose.</w:t>
      </w:r>
    </w:p>
    <w:p>
      <w:pPr>
        <w:pStyle w:val="BodyText"/>
      </w:pPr>
      <w:r>
        <w:rPr>
          <w:i/>
          <w:iCs/>
        </w:rPr>
        <w:t xml:space="preserve">Agreement with published values.</w:t>
      </w:r>
      <w:r>
        <w:t xml:space="preserve"> </w:t>
      </w:r>
      <w:r>
        <w:t xml:space="preserve">Derived spinopelvic measures are compared against</w:t>
      </w:r>
      <w:r>
        <w:t xml:space="preserve"> </w:t>
      </w:r>
      <w:r>
        <w:t xml:space="preserve">Vialle</w:t>
      </w:r>
      <w:r>
        <w:t xml:space="preserve"> </w:t>
      </w:r>
      <w:r>
        <w:rPr>
          <w:i/>
          <w:iCs/>
        </w:rPr>
        <w:t xml:space="preserve">et al.</w:t>
      </w:r>
      <w:r>
        <w:t xml:space="preserve"> </w:t>
      </w:r>
      <w:r>
        <w:t xml:space="preserve"> </w:t>
      </w:r>
      <w:r>
        <w:t xml:space="preserve">(Table </w:t>
      </w:r>
      <w:hyperlink w:anchor="tab:spinopelvic">
        <w:r>
          <w:rPr>
            <w:rStyle w:val="Hyperlink"/>
          </w:rPr>
          <w:t xml:space="preserve">[tab:spinopelvic]</w:t>
        </w:r>
      </w:hyperlink>
      <w:r>
        <w:t xml:space="preserve">). Pelvic incidence is</w:t>
      </w:r>
      <w:r>
        <w:t xml:space="preserve"> </w:t>
      </w:r>
      <w:r>
        <w:t xml:space="preserve">the strongest of these checks because it is a morphological property of the pelvis rather</w:t>
      </w:r>
      <w:r>
        <w:t xml:space="preserve"> </w:t>
      </w:r>
      <w:r>
        <w:t xml:space="preserve">than a posture, and so is directly comparable to a standing reference cohort.</w:t>
      </w:r>
    </w:p>
    <w:bookmarkEnd w:id="27"/>
    <w:bookmarkStart w:id="28" w:name="castellvi-typing"/>
    <w:p>
      <w:pPr>
        <w:pStyle w:val="Heading2"/>
      </w:pPr>
      <w:r>
        <w:t xml:space="preserve">Castellvi typing</w:t>
      </w:r>
    </w:p>
    <w:p>
      <w:pPr>
        <w:pStyle w:val="FirstParagraph"/>
      </w:pPr>
      <w:r>
        <w:t xml:space="preserve">Every record whose vertebral count departs from five carries a Castellvi</w:t>
      </w:r>
      <w:r>
        <w:t xml:space="preserve"> </w:t>
      </w:r>
      <w:r>
        <w:t xml:space="preserve">grade </w:t>
      </w:r>
      <w:r>
        <w:t xml:space="preserve"> </w:t>
      </w:r>
      <w:r>
        <w:t xml:space="preserve">in the released manifest: 33 cases, typed I–IV with the</w:t>
      </w:r>
      <w:r>
        <w:t xml:space="preserve"> </w:t>
      </w:r>
      <m:oMath>
        <m:r>
          <m:t>a</m:t>
        </m:r>
      </m:oMath>
      <w:r>
        <w:t xml:space="preserve">/</w:t>
      </w:r>
      <m:oMath>
        <m:r>
          <m:t>b</m:t>
        </m:r>
      </m:oMath>
      <w:r>
        <w:t xml:space="preserve"> </w:t>
      </w:r>
      <w:r>
        <w:t xml:space="preserve">unilateral–bilateral qualifier. This is released as an</w:t>
      </w:r>
      <w:r>
        <w:t xml:space="preserve"> </w:t>
      </w:r>
      <w:r>
        <w:t xml:space="preserve">annotation layer because the grade and the count are</w:t>
      </w:r>
      <w:r>
        <w:t xml:space="preserve"> </w:t>
      </w:r>
      <w:r>
        <w:rPr>
          <w:i/>
          <w:iCs/>
        </w:rPr>
        <w:t xml:space="preserve">different axes</w:t>
      </w:r>
      <w:r>
        <w:t xml:space="preserve"> </w:t>
      </w:r>
      <w:r>
        <w:t xml:space="preserve">and the dataset</w:t>
      </w:r>
      <w:r>
        <w:t xml:space="preserve"> </w:t>
      </w:r>
      <w:r>
        <w:t xml:space="preserve">is built to show that they are: grade IIIb occurs here at rib-free counts of four, five and</w:t>
      </w:r>
      <w:r>
        <w:t xml:space="preserve"> </w:t>
      </w:r>
      <w:r>
        <w:t xml:space="preserve">six alike, and seven of the 33 graded cases carry a perfectly normal count of five. A</w:t>
      </w:r>
      <w:r>
        <w:t xml:space="preserve"> </w:t>
      </w:r>
      <w:r>
        <w:t xml:space="preserve">corpus that recorded only the count would describe those seven as unremarkable.</w:t>
      </w:r>
    </w:p>
    <w:p>
      <w:pPr>
        <w:pStyle w:val="BodyText"/>
      </w:pPr>
      <w:r>
        <w:t xml:space="preserve">The grades were assigned by a radiology resident physician. The distinction the classification turns on — bony</w:t>
      </w:r>
      <w:r>
        <w:t xml:space="preserve"> </w:t>
      </w:r>
      <w:r>
        <w:t xml:space="preserve">fusion against articulation without it </w:t>
      </w:r>
      <w:r>
        <w:t xml:space="preserve"> </w:t>
      </w:r>
      <w:r>
        <w:t xml:space="preserve">— is the one carrying</w:t>
      </w:r>
      <w:r>
        <w:t xml:space="preserve"> </w:t>
      </w:r>
      <w:r>
        <w:t xml:space="preserve">clinical weight.</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left"/>
            </w:pPr>
            <w:r>
              <w:t xml:space="preserve">Measure</w:t>
            </w:r>
          </w:p>
        </w:tc>
        <w:tc>
          <w:tcPr/>
          <w:p>
            <w:pPr>
              <w:pStyle w:val="Compact"/>
              <w:jc w:val="center"/>
            </w:pPr>
            <w:r>
              <w:t xml:space="preserve">This dataset (supine)</w:t>
            </w:r>
          </w:p>
        </w:tc>
        <w:tc>
          <w:tcPr/>
          <w:p>
            <w:pPr>
              <w:pStyle w:val="Compact"/>
              <w:jc w:val="center"/>
            </w:pPr>
            <w:r>
              <w:t xml:space="preserve">Reference (standing)</w:t>
            </w:r>
          </w:p>
        </w:tc>
      </w:tr>
      <w:tr>
        <w:tc>
          <w:tcPr/>
          <w:p>
            <w:pPr>
              <w:pStyle w:val="Compact"/>
              <w:jc w:val="left"/>
            </w:pPr>
            <w:r>
              <w:t xml:space="preserve">Pelvic incidence</w:t>
            </w:r>
          </w:p>
        </w:tc>
        <w:tc>
          <w:tcPr/>
          <w:p>
            <w:pPr>
              <w:pStyle w:val="Compact"/>
              <w:jc w:val="center"/>
            </w:pPr>
            <w:r>
              <w:t xml:space="preserve">54.7</w:t>
            </w:r>
            <m:oMath>
              <m:sSup>
                <m:e>
                  <m:r>
                    <m:t>​</m:t>
                  </m:r>
                </m:e>
                <m:sup>
                  <m:r>
                    <m:rPr>
                      <m:sty m:val="p"/>
                    </m:rPr>
                    <m:t>∘</m:t>
                  </m:r>
                </m:sup>
              </m:sSup>
            </m:oMath>
          </w:p>
        </w:tc>
        <w:tc>
          <w:tcPr/>
          <w:p>
            <w:pPr>
              <w:pStyle w:val="Compact"/>
              <w:jc w:val="center"/>
            </w:pPr>
            <w:r>
              <w:t xml:space="preserve">54.7</w:t>
            </w:r>
            <w:r>
              <w:t xml:space="preserve"> </w:t>
            </w:r>
            <m:oMath>
              <m:r>
                <m:rPr>
                  <m:sty m:val="p"/>
                </m:rPr>
                <m:t>±</m:t>
              </m:r>
            </m:oMath>
            <w:r>
              <w:t xml:space="preserve"> </w:t>
            </w:r>
            <w:r>
              <w:t xml:space="preserve">10.6</w:t>
            </w:r>
          </w:p>
        </w:tc>
      </w:tr>
      <w:tr>
        <w:tc>
          <w:tcPr/>
          <w:p>
            <w:pPr>
              <w:pStyle w:val="Compact"/>
              <w:jc w:val="left"/>
            </w:pPr>
            <w:r>
              <w:t xml:space="preserve">Pelvic tilt</w:t>
            </w:r>
          </w:p>
        </w:tc>
        <w:tc>
          <w:tcPr/>
          <w:p>
            <w:pPr>
              <w:pStyle w:val="Compact"/>
              <w:jc w:val="center"/>
            </w:pPr>
            <w:r>
              <w:t xml:space="preserve">17.3</w:t>
            </w:r>
            <m:oMath>
              <m:sSup>
                <m:e>
                  <m:r>
                    <m:t>​</m:t>
                  </m:r>
                </m:e>
                <m:sup>
                  <m:r>
                    <m:rPr>
                      <m:sty m:val="p"/>
                    </m:rPr>
                    <m:t>∘</m:t>
                  </m:r>
                </m:sup>
              </m:sSup>
            </m:oMath>
          </w:p>
        </w:tc>
        <w:tc>
          <w:tcPr/>
          <w:p>
            <w:pPr>
              <w:pStyle w:val="Compact"/>
              <w:jc w:val="center"/>
            </w:pPr>
            <w:r>
              <w:t xml:space="preserve">13</w:t>
            </w:r>
            <w:r>
              <w:t xml:space="preserve"> </w:t>
            </w:r>
            <m:oMath>
              <m:r>
                <m:rPr>
                  <m:sty m:val="p"/>
                </m:rPr>
                <m:t>±</m:t>
              </m:r>
            </m:oMath>
            <w:r>
              <w:t xml:space="preserve"> </w:t>
            </w:r>
            <w:r>
              <w:t xml:space="preserve">6</w:t>
            </w:r>
          </w:p>
        </w:tc>
      </w:tr>
      <w:tr>
        <w:tc>
          <w:tcPr/>
          <w:p>
            <w:pPr>
              <w:pStyle w:val="Compact"/>
              <w:jc w:val="left"/>
            </w:pPr>
            <w:r>
              <w:t xml:space="preserve">Sacral slope</w:t>
            </w:r>
          </w:p>
        </w:tc>
        <w:tc>
          <w:tcPr/>
          <w:p>
            <w:pPr>
              <w:pStyle w:val="Compact"/>
              <w:jc w:val="center"/>
            </w:pPr>
            <w:r>
              <w:t xml:space="preserve">36.9</w:t>
            </w:r>
            <m:oMath>
              <m:sSup>
                <m:e>
                  <m:r>
                    <m:t>​</m:t>
                  </m:r>
                </m:e>
                <m:sup>
                  <m:r>
                    <m:rPr>
                      <m:sty m:val="p"/>
                    </m:rPr>
                    <m:t>∘</m:t>
                  </m:r>
                </m:sup>
              </m:sSup>
            </m:oMath>
          </w:p>
        </w:tc>
        <w:tc>
          <w:tcPr/>
          <w:p>
            <w:pPr>
              <w:pStyle w:val="Compact"/>
              <w:jc w:val="center"/>
            </w:pPr>
            <w:r>
              <w:t xml:space="preserve">41.0</w:t>
            </w:r>
            <w:r>
              <w:t xml:space="preserve"> </w:t>
            </w:r>
            <m:oMath>
              <m:r>
                <m:rPr>
                  <m:sty m:val="p"/>
                </m:rPr>
                <m:t>±</m:t>
              </m:r>
            </m:oMath>
            <w:r>
              <w:t xml:space="preserve"> </w:t>
            </w:r>
            <w:r>
              <w:t xml:space="preserve">8.4</w:t>
            </w:r>
          </w:p>
        </w:tc>
      </w:tr>
      <w:tr>
        <w:tc>
          <w:tcPr/>
          <w:p>
            <w:pPr>
              <w:pStyle w:val="Compact"/>
              <w:jc w:val="left"/>
            </w:pPr>
            <w:r>
              <w:t xml:space="preserve">Lumbar lordosis (supine)</w:t>
            </w:r>
          </w:p>
        </w:tc>
        <w:tc>
          <w:tcPr/>
          <w:p>
            <w:pPr>
              <w:pStyle w:val="Compact"/>
              <w:jc w:val="center"/>
            </w:pPr>
            <w:r>
              <w:t xml:space="preserve">52.7</w:t>
            </w:r>
            <m:oMath>
              <m:sSup>
                <m:e>
                  <m:r>
                    <m:t>​</m:t>
                  </m:r>
                </m:e>
                <m:sup>
                  <m:r>
                    <m:rPr>
                      <m:sty m:val="p"/>
                    </m:rPr>
                    <m:t>∘</m:t>
                  </m:r>
                </m:sup>
              </m:sSup>
            </m:oMath>
          </w:p>
        </w:tc>
        <w:tc>
          <w:tcPr/>
          <w:p>
            <w:pPr>
              <w:pStyle w:val="Compact"/>
              <w:jc w:val="center"/>
            </w:pPr>
            <w:r>
              <w:t xml:space="preserve">43</w:t>
            </w:r>
            <w:r>
              <w:t xml:space="preserve"> </w:t>
            </w:r>
            <m:oMath>
              <m:r>
                <m:rPr>
                  <m:sty m:val="p"/>
                </m:rPr>
                <m:t>±</m:t>
              </m:r>
            </m:oMath>
            <w:r>
              <w:t xml:space="preserve"> </w:t>
            </w:r>
            <w:r>
              <w:t xml:space="preserve">11.2 (standing)</w:t>
            </w:r>
          </w:p>
        </w:tc>
      </w:tr>
      <w:tr>
        <w:tc>
          <w:tcPr/>
          <w:p>
            <w:pPr>
              <w:pStyle w:val="Compact"/>
              <w:jc w:val="left"/>
            </w:pPr>
            <w:r>
              <w:t xml:space="preserve">PI</w:t>
            </w:r>
            <w:r>
              <w:t xml:space="preserve"> </w:t>
            </w:r>
            <m:oMath>
              <m:r>
                <m:rPr>
                  <m:sty m:val="p"/>
                </m:rPr>
                <m:t>−</m:t>
              </m:r>
            </m:oMath>
            <w:r>
              <w:t xml:space="preserve"> </w:t>
            </w:r>
            <w:r>
              <w:t xml:space="preserve">LL mismatch</w:t>
            </w:r>
          </w:p>
        </w:tc>
        <w:tc>
          <w:tcPr/>
          <w:p>
            <w:pPr>
              <w:pStyle w:val="Compact"/>
              <w:jc w:val="center"/>
            </w:pPr>
            <w:r>
              <w:t xml:space="preserve">2.6</w:t>
            </w:r>
            <m:oMath>
              <m:sSup>
                <m:e>
                  <m:r>
                    <m:t>​</m:t>
                  </m:r>
                </m:e>
                <m:sup>
                  <m:r>
                    <m:rPr>
                      <m:sty m:val="p"/>
                    </m:rPr>
                    <m:t>∘</m:t>
                  </m:r>
                </m:sup>
              </m:sSup>
            </m:oMath>
          </w:p>
        </w:tc>
        <w:tc>
          <w:tcPr/>
          <w:p>
            <w:pPr>
              <w:pStyle w:val="Compact"/>
              <w:jc w:val="center"/>
            </w:pPr>
            <w:r>
              <w:t xml:space="preserve">centered near 0</w:t>
            </w:r>
          </w:p>
        </w:tc>
      </w:tr>
    </w:tbl>
    <w:bookmarkEnd w:id="28"/>
    <w:bookmarkStart w:id="33" w:name="sec:hardware"/>
    <w:p>
      <w:pPr>
        <w:pStyle w:val="Heading2"/>
      </w:pPr>
      <w:r>
        <w:t xml:space="preserve">Surgical hardware, and why a threshold is not enough</w:t>
      </w:r>
    </w:p>
    <w:p>
      <w:pPr>
        <w:pStyle w:val="FirstParagraph"/>
      </w:pPr>
      <w:r>
        <w:t xml:space="preserve">Metal is trivial to detect and hard to interpret, and the difference matters here for one</w:t>
      </w:r>
      <w:r>
        <w:t xml:space="preserve"> </w:t>
      </w:r>
      <w:r>
        <w:t xml:space="preserve">reason:</w:t>
      </w:r>
      <w:r>
        <w:t xml:space="preserve"> </w:t>
      </w:r>
      <w:r>
        <w:rPr>
          <w:b/>
          <w:bCs/>
        </w:rPr>
        <w:t xml:space="preserve">an iatrogenic fusion is indistinguishable from a congenital one to a distance</w:t>
      </w:r>
      <w:r>
        <w:rPr>
          <w:b/>
          <w:bCs/>
        </w:rPr>
        <w:t xml:space="preserve"> </w:t>
      </w:r>
      <w:r>
        <w:rPr>
          <w:b/>
          <w:bCs/>
        </w:rPr>
        <w:t xml:space="preserve">measurement</w:t>
      </w:r>
      <w:r>
        <w:t xml:space="preserve">. A cage-bridged interspace reads as</w:t>
      </w:r>
      <w:r>
        <w:t xml:space="preserve"> </w:t>
      </w:r>
      <w:r>
        <w:t xml:space="preserve">“no gap”</w:t>
      </w:r>
      <w:r>
        <w:t xml:space="preserve"> </w:t>
      </w:r>
      <w:r>
        <w:t xml:space="preserve">exactly as a congenitally fused</w:t>
      </w:r>
      <w:r>
        <w:t xml:space="preserve"> </w:t>
      </w:r>
      <w:r>
        <w:t xml:space="preserve">transitional vertebra does, so an unrecorded instrumented case is a false positive on the</w:t>
      </w:r>
      <w:r>
        <w:t xml:space="preserve"> </w:t>
      </w:r>
      <w:r>
        <w:t xml:space="preserve">central measure — and identifiers 76–79 were declared in every prior version and</w:t>
      </w:r>
      <w:r>
        <w:t xml:space="preserve"> </w:t>
      </w:r>
      <w:r>
        <w:t xml:space="preserve">populated in none.</w:t>
      </w:r>
    </w:p>
    <w:bookmarkStart w:id="29" w:name="X0751b13ecdeaa536d324158c6673f1614309e54"/>
    <w:p>
      <w:pPr>
        <w:pStyle w:val="Heading4"/>
      </w:pPr>
      <w:r>
        <w:t xml:space="preserve">Detection over-calls by a factor of seven.</w:t>
      </w:r>
    </w:p>
    <w:p>
      <w:pPr>
        <w:pStyle w:val="FirstParagraph"/>
      </w:pPr>
      <w:r>
        <w:t xml:space="preserve">A threshold at 1800 HU inside a</w:t>
      </w:r>
      <w:r>
        <w:t xml:space="preserve"> </w:t>
      </w:r>
      <w:r>
        <w:t xml:space="preserve">shell around the labeled skeleton flags 84 of the 802 records. Raising it to</w:t>
      </w:r>
      <w:r>
        <w:t xml:space="preserve"> </w:t>
      </w:r>
      <w:r>
        <w:t xml:space="preserve">2500 HU — the lower of the two values validated in the metal-segmentation literature —</w:t>
      </w:r>
      <w:r>
        <w:t xml:space="preserve"> </w:t>
      </w:r>
      <w:r>
        <w:t xml:space="preserve">leaves 52 with a component above a 40-voxel floor. The same radiology resident physician read all</w:t>
      </w:r>
      <w:r>
        <w:t xml:space="preserve"> </w:t>
      </w:r>
      <w:r>
        <w:t xml:space="preserve">52 and confirmed 11, rejecting 41 (79%) as contrast, calcification</w:t>
      </w:r>
      <w:r>
        <w:t xml:space="preserve"> </w:t>
      </w:r>
      <w:r>
        <w:t xml:space="preserve">and reconstruction artefact. Instrumentation prevalence in this cohort is 1.4%, not the</w:t>
      </w:r>
      <w:r>
        <w:t xml:space="preserve"> </w:t>
      </w:r>
      <w:r>
        <w:t xml:space="preserve">10.5% an unreviewed threshold reports.</w:t>
      </w:r>
    </w:p>
    <w:bookmarkEnd w:id="29"/>
    <w:bookmarkStart w:id="30" w:name="X6ec752d5c90f369263b9bc370c4995fedd38b9d"/>
    <w:p>
      <w:pPr>
        <w:pStyle w:val="Heading4"/>
      </w:pPr>
      <w:r>
        <w:t xml:space="preserve">Saturation does not separate implant from artefact.</w:t>
      </w:r>
    </w:p>
    <w:p>
      <w:pPr>
        <w:pStyle w:val="FirstParagraph"/>
      </w:pPr>
      <w:r>
        <w:t xml:space="preserve">Both groups reach the</w:t>
      </w:r>
      <w:r>
        <w:t xml:space="preserve"> </w:t>
      </w:r>
      <w:r>
        <w:t xml:space="preserve">scanner ceiling and 4 rejected proposals</w:t>
      </w:r>
      <w:r>
        <w:t xml:space="preserve"> </w:t>
      </w:r>
      <w:r>
        <w:rPr>
          <w:i/>
          <w:iCs/>
        </w:rPr>
        <w:t xml:space="preserve">exceed</w:t>
      </w:r>
      <w:r>
        <w:t xml:space="preserve"> </w:t>
      </w:r>
      <w:r>
        <w:t xml:space="preserve">it, peaking at 11,798 HU — the</w:t>
      </w:r>
      <w:r>
        <w:t xml:space="preserve"> </w:t>
      </w:r>
      <w:r>
        <w:t xml:space="preserve">signature of reconstruction overshoot rather than of denser metal. What separates them is</w:t>
      </w:r>
      <w:r>
        <w:t xml:space="preserve"> </w:t>
      </w:r>
      <w:r>
        <w:t xml:space="preserve">position and size together: a real surgical site</w:t>
      </w:r>
      <w:r>
        <w:t xml:space="preserve"> </w:t>
      </w:r>
      <w:r>
        <w:rPr>
          <w:i/>
          <w:iCs/>
        </w:rPr>
        <w:t xml:space="preserve">and</w:t>
      </w:r>
      <w:r>
        <w:t xml:space="preserve"> </w:t>
      </w:r>
      <w:r>
        <w:t xml:space="preserve">volume, every confirmed implant</w:t>
      </w:r>
      <w:r>
        <w:t xml:space="preserve"> </w:t>
      </w:r>
      <w:r>
        <w:t xml:space="preserve">at 2,586 mm</w:t>
      </w:r>
      <m:oMath>
        <m:sSup>
          <m:e>
            <m:r>
              <m:t>​</m:t>
            </m:r>
          </m:e>
          <m:sup>
            <m:r>
              <m:t>3</m:t>
            </m:r>
          </m:sup>
        </m:sSup>
      </m:oMath>
      <w:r>
        <w:t xml:space="preserve"> </w:t>
      </w:r>
      <w:r>
        <w:t xml:space="preserve">or above and every rejection at 1,768 mm</w:t>
      </w:r>
      <m:oMath>
        <m:sSup>
          <m:e>
            <m:r>
              <m:t>​</m:t>
            </m:r>
          </m:e>
          <m:sup>
            <m:r>
              <m:t>3</m:t>
            </m:r>
          </m:sup>
        </m:sSup>
      </m:oMath>
      <w:r>
        <w:t xml:space="preserve"> </w:t>
      </w:r>
      <w:r>
        <w:t xml:space="preserve">or below.</w:t>
      </w:r>
    </w:p>
    <w:bookmarkEnd w:id="30"/>
    <w:bookmarkStart w:id="31" w:name="the-subtype-block-had-to-be-extended."/>
    <w:p>
      <w:pPr>
        <w:pStyle w:val="Heading4"/>
      </w:pPr>
      <w:r>
        <w:t xml:space="preserve">The subtype block had to be extended.</w:t>
      </w:r>
    </w:p>
    <w:p>
      <w:pPr>
        <w:pStyle w:val="FirstParagraph"/>
      </w:pPr>
      <w:r>
        <w:t xml:space="preserve">Identifiers 76–79 name spinal</w:t>
      </w:r>
      <w:r>
        <w:t xml:space="preserve"> </w:t>
      </w:r>
      <w:r>
        <w:t xml:space="preserve">instrumentation — generic, cage, screw-and-rod, plate — and cannot describe what this</w:t>
      </w:r>
      <w:r>
        <w:t xml:space="preserve"> </w:t>
      </w:r>
      <w:r>
        <w:t xml:space="preserve">cohort holds, so</w:t>
      </w:r>
      <w:r>
        <w:t xml:space="preserve"> </w:t>
      </w:r>
      <w:r>
        <w:rPr>
          <w:b/>
          <w:bCs/>
        </w:rPr>
        <w:t xml:space="preserve">80 arthroplasty</w:t>
      </w:r>
      <w:r>
        <w:t xml:space="preserve">,</w:t>
      </w:r>
      <w:r>
        <w:t xml:space="preserve"> </w:t>
      </w:r>
      <w:r>
        <w:rPr>
          <w:b/>
          <w:bCs/>
        </w:rPr>
        <w:t xml:space="preserve">81 sacroiliac screw</w:t>
      </w:r>
      <w:r>
        <w:t xml:space="preserve"> </w:t>
      </w:r>
      <w:r>
        <w:t xml:space="preserve">and</w:t>
      </w:r>
      <w:r>
        <w:t xml:space="preserve"> </w:t>
      </w:r>
      <w:r>
        <w:rPr>
          <w:b/>
          <w:bCs/>
        </w:rPr>
        <w:t xml:space="preserve">82</w:t>
      </w:r>
      <w:r>
        <w:rPr>
          <w:b/>
          <w:bCs/>
        </w:rPr>
        <w:t xml:space="preserve"> </w:t>
      </w:r>
      <w:r>
        <w:rPr>
          <w:b/>
          <w:bCs/>
        </w:rPr>
        <w:t xml:space="preserve">osteosynthesis</w:t>
      </w:r>
      <w:r>
        <w:t xml:space="preserve"> </w:t>
      </w:r>
      <w:r>
        <w:t xml:space="preserve">were added. The distinction is clinical, not cosmetic: osteosynthesis holds</w:t>
      </w:r>
      <w:r>
        <w:t xml:space="preserve"> </w:t>
      </w:r>
      <w:r>
        <w:t xml:space="preserve">parts of the same bone together where arthroplasty replaces a joint, and without it the shape</w:t>
      </w:r>
      <w:r>
        <w:t xml:space="preserve"> </w:t>
      </w:r>
      <w:r>
        <w:t xml:space="preserve">rules call a femoral stem a rod, since a stem is long and thin and that is all</w:t>
      </w:r>
      <w:r>
        <w:t xml:space="preserve"> </w:t>
      </w:r>
      <w:r>
        <w:t xml:space="preserve">“linear”</w:t>
      </w:r>
      <w:r>
        <w:t xml:space="preserve"> </w:t>
      </w:r>
      <w:r>
        <w:t xml:space="preserve">tests. The</w:t>
      </w:r>
      <w:r>
        <w:t xml:space="preserve"> </w:t>
      </w:r>
      <w:r>
        <w:t xml:space="preserve">confirmed cases comprise 8 arthroplasties, one osteosynthesis, one sacroiliac screw fixation and one pair of threaded cylindrical interbody cages.</w:t>
      </w:r>
    </w:p>
    <w:bookmarkEnd w:id="31"/>
    <w:bookmarkStart w:id="32" w:name="X06fc12f192e95ab0f7b26779051c84afa05042a"/>
    <w:p>
      <w:pPr>
        <w:pStyle w:val="Heading4"/>
      </w:pPr>
      <w:r>
        <w:t xml:space="preserve">Metal outranks bone, and that is a subtraction.</w:t>
      </w:r>
    </w:p>
    <w:p>
      <w:pPr>
        <w:pStyle w:val="FirstParagraph"/>
      </w:pPr>
      <w:r>
        <w:t xml:space="preserve">In every confirmed case the</w:t>
      </w:r>
      <w:r>
        <w:t xml:space="preserve"> </w:t>
      </w:r>
      <w:r>
        <w:t xml:space="preserve">implant was already inside a bone label, a segmenter handed a bright object against a</w:t>
      </w:r>
      <w:r>
        <w:t xml:space="preserve"> </w:t>
      </w:r>
      <w:r>
        <w:t xml:space="preserve">cortical surface having taken it for bone. Naming the hardware therefore reclaims voxels</w:t>
      </w:r>
      <w:r>
        <w:t xml:space="preserve"> </w:t>
      </w:r>
      <w:r>
        <w:t xml:space="preserve">rather than adding them: 1,538,852 voxels across the eleven records. The consequence</w:t>
      </w:r>
      <w:r>
        <w:t xml:space="preserve"> </w:t>
      </w:r>
      <w:r>
        <w:t xml:space="preserve">reaches past bookkeeping. Pelvic incidence and pelvic tilt are measured from the femoral</w:t>
      </w:r>
      <w:r>
        <w:t xml:space="preserve"> </w:t>
      </w:r>
      <w:r>
        <w:t xml:space="preserve">head center, and in 8 of these cases that head is an implant — any spinopelvic</w:t>
      </w:r>
      <w:r>
        <w:t xml:space="preserve"> </w:t>
      </w:r>
      <w:r>
        <w:t xml:space="preserve">parameter previously computed from them was measured on metal.</w:t>
      </w:r>
    </w:p>
    <w:bookmarkEnd w:id="32"/>
    <w:bookmarkEnd w:id="33"/>
    <w:bookmarkEnd w:id="34"/>
    <w:bookmarkStart w:id="35" w:name="sec:format"/>
    <w:p>
      <w:pPr>
        <w:pStyle w:val="Heading1"/>
      </w:pPr>
      <w:r>
        <w:t xml:space="preserve">Data Format and Usage Notes</w:t>
      </w:r>
    </w:p>
    <w:p>
      <w:pPr>
        <w:pStyle w:val="FirstParagraph"/>
      </w:pPr>
      <w:r>
        <w:t xml:space="preserve">Each record is a gzipped NIfTI image/label pair sharing an identical</w:t>
      </w:r>
      <w:r>
        <w:t xml:space="preserve"> </w:t>
      </w:r>
      <m:oMath>
        <m:r>
          <m:t>4</m:t>
        </m:r>
        <m:r>
          <m:rPr>
            <m:sty m:val="p"/>
          </m:rPr>
          <m:t>×</m:t>
        </m:r>
        <m:r>
          <m:t>4</m:t>
        </m:r>
      </m:oMath>
      <w:r>
        <w:t xml:space="preserve"> </w:t>
      </w:r>
      <w:r>
        <w:t xml:space="preserve">affine,</w:t>
      </w:r>
      <w:r>
        <w:t xml:space="preserve"> </w:t>
      </w:r>
      <w:r>
        <w:t xml:space="preserve">canonicalized to PIR, requiring no resampling. Masks are NIfTI rather than DICOM: the</w:t>
      </w:r>
      <w:r>
        <w:t xml:space="preserve"> </w:t>
      </w:r>
      <w:r>
        <w:t xml:space="preserve">policy prefers DICOM where applicable, and for volumetric segmentation masks NIfTI is</w:t>
      </w:r>
      <w:r>
        <w:t xml:space="preserve"> </w:t>
      </w:r>
      <w:r>
        <w:t xml:space="preserve">what the downstream tooling expects.</w:t>
      </w:r>
    </w:p>
    <w:p>
      <w:pPr>
        <w:pStyle w:val="BodyText"/>
      </w:pPr>
      <w:r>
        <w:t xml:space="preserve">Splits are patient-grouped and LSTV-stratified five-fold, frozen and shipped with the data</w:t>
      </w:r>
      <w:r>
        <w:t xml:space="preserve"> </w:t>
      </w:r>
      <w:r>
        <w:t xml:space="preserve">as</w:t>
      </w:r>
      <w:r>
        <w:t xml:space="preserve"> </w:t>
      </w:r>
      <w:r>
        <w:rPr>
          <w:rStyle w:val="VerbatimChar"/>
        </w:rPr>
        <w:t xml:space="preserve">splits_5fold.json</w:t>
      </w:r>
      <w:r>
        <w:t xml:space="preserve">. The five validation folds partition all 802 records, so the</w:t>
      </w:r>
      <w:r>
        <w:t xml:space="preserve"> </w:t>
      </w:r>
      <w:r>
        <w:t xml:space="preserve">release provides cross-validation and</w:t>
      </w:r>
      <w:r>
        <w:t xml:space="preserve"> </w:t>
      </w:r>
      <w:r>
        <w:rPr>
          <w:i/>
          <w:iCs/>
        </w:rPr>
        <w:t xml:space="preserve">not</w:t>
      </w:r>
      <w:r>
        <w:t xml:space="preserve"> </w:t>
      </w:r>
      <w:r>
        <w:t xml:space="preserve">a held-out test set. Users reporting a single held-out number should carve one out and state which records</w:t>
      </w:r>
      <w:r>
        <w:t xml:space="preserve"> </w:t>
      </w:r>
      <w:r>
        <w:t xml:space="preserve">it holds, because the folds shipped here will not do that job.</w:t>
      </w:r>
    </w:p>
    <w:p>
      <w:pPr>
        <w:pStyle w:val="BodyText"/>
      </w:pPr>
      <w:r>
        <w:t xml:space="preserve">Stratification is on the transitional subtype rather than on a binary LSTV flag, and it</w:t>
      </w:r>
      <w:r>
        <w:t xml:space="preserve"> </w:t>
      </w:r>
      <w:r>
        <w:t xml:space="preserve">enforces a minimum of each rare subtype in every validation fold: each fold’s validation</w:t>
      </w:r>
      <w:r>
        <w:t xml:space="preserve"> </w:t>
      </w:r>
      <w:r>
        <w:t xml:space="preserve">set carries three sacralization and three lumbarization records, so no fold is evaluated on</w:t>
      </w:r>
      <w:r>
        <w:t xml:space="preserve"> </w:t>
      </w:r>
      <w:r>
        <w:t xml:space="preserve">a cohort missing the class the dataset exists for. With 15 lumbarization and 15</w:t>
      </w:r>
      <w:r>
        <w:t xml:space="preserve"> </w:t>
      </w:r>
      <w:r>
        <w:t xml:space="preserve">sacralization records across 802, that is the practical limit of what stratification can</w:t>
      </w:r>
      <w:r>
        <w:t xml:space="preserve"> </w:t>
      </w:r>
      <w:r>
        <w:t xml:space="preserve">guarantee, and it is why a fold-level metric on the rare classes carries an error bar far</w:t>
      </w:r>
      <w:r>
        <w:t xml:space="preserve"> </w:t>
      </w:r>
      <w:r>
        <w:t xml:space="preserve">wider than its own decimal places.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left"/>
            </w:pPr>
            <w:r>
              <w:t xml:space="preserve">Field</w:t>
            </w:r>
          </w:p>
        </w:tc>
        <w:tc>
          <w:tcPr/>
          <w:p>
            <w:pPr>
              <w:pStyle w:val="Compact"/>
              <w:jc w:val="right"/>
            </w:pPr>
            <w:r>
              <w:t xml:space="preserve">Records</w:t>
            </w:r>
          </w:p>
        </w:tc>
        <w:tc>
          <w:tcPr/>
          <w:p>
            <w:pPr>
              <w:pStyle w:val="Compact"/>
              <w:jc w:val="right"/>
            </w:pPr>
            <w:r>
              <w:t xml:space="preserve">Available</w:t>
            </w:r>
          </w:p>
        </w:tc>
      </w:tr>
      <w:tr>
        <w:tc>
          <w:tcPr/>
          <w:p>
            <w:pPr>
              <w:pStyle w:val="Compact"/>
              <w:jc w:val="left"/>
            </w:pPr>
            <w:r>
              <w:t xml:space="preserve">Identifier, image path, label path, configuration, match type</w:t>
            </w:r>
          </w:p>
        </w:tc>
        <w:tc>
          <w:tcPr/>
          <w:p>
            <w:pPr>
              <w:pStyle w:val="Compact"/>
              <w:jc w:val="right"/>
            </w:pPr>
            <w:r>
              <w:t xml:space="preserve">802</w:t>
            </w:r>
          </w:p>
        </w:tc>
        <w:tc>
          <w:tcPr/>
          <w:p>
            <w:pPr>
              <w:pStyle w:val="Compact"/>
              <w:jc w:val="right"/>
            </w:pPr>
            <w:r>
              <w:t xml:space="preserve">100.0%</w:t>
            </w:r>
          </w:p>
        </w:tc>
      </w:tr>
      <w:tr>
        <w:tc>
          <w:tcPr/>
          <w:p>
            <w:pPr>
              <w:pStyle w:val="Compact"/>
              <w:jc w:val="left"/>
            </w:pPr>
            <w:r>
              <w:t xml:space="preserve">Patient position, tube potential, section thickness, kernel</w:t>
            </w:r>
          </w:p>
        </w:tc>
        <w:tc>
          <w:tcPr/>
          <w:p>
            <w:pPr>
              <w:pStyle w:val="Compact"/>
              <w:jc w:val="right"/>
            </w:pPr>
            <w:r>
              <w:t xml:space="preserve">802</w:t>
            </w:r>
          </w:p>
        </w:tc>
        <w:tc>
          <w:tcPr/>
          <w:p>
            <w:pPr>
              <w:pStyle w:val="Compact"/>
              <w:jc w:val="right"/>
            </w:pPr>
            <w:r>
              <w:t xml:space="preserve">100.0%</w:t>
            </w:r>
          </w:p>
        </w:tc>
      </w:tr>
      <w:tr>
        <w:tc>
          <w:tcPr/>
          <w:p>
            <w:pPr>
              <w:pStyle w:val="Compact"/>
              <w:jc w:val="left"/>
            </w:pPr>
            <w:r>
              <w:t xml:space="preserve">Transitional label and class</w:t>
            </w:r>
          </w:p>
        </w:tc>
        <w:tc>
          <w:tcPr/>
          <w:p>
            <w:pPr>
              <w:pStyle w:val="Compact"/>
              <w:jc w:val="right"/>
            </w:pPr>
            <w:r>
              <w:t xml:space="preserve">802</w:t>
            </w:r>
          </w:p>
        </w:tc>
        <w:tc>
          <w:tcPr/>
          <w:p>
            <w:pPr>
              <w:pStyle w:val="Compact"/>
              <w:jc w:val="right"/>
            </w:pPr>
            <w:r>
              <w:t xml:space="preserve">100.0%</w:t>
            </w:r>
          </w:p>
        </w:tc>
      </w:tr>
      <w:tr>
        <w:tc>
          <w:tcPr/>
          <w:p>
            <w:pPr>
              <w:pStyle w:val="Compact"/>
              <w:jc w:val="left"/>
            </w:pPr>
            <w:r>
              <w:t xml:space="preserve">Spine and pelvic annotation origin</w:t>
            </w:r>
          </w:p>
        </w:tc>
        <w:tc>
          <w:tcPr/>
          <w:p>
            <w:pPr>
              <w:pStyle w:val="Compact"/>
              <w:jc w:val="right"/>
            </w:pPr>
            <w:r>
              <w:t xml:space="preserve">802</w:t>
            </w:r>
          </w:p>
        </w:tc>
        <w:tc>
          <w:tcPr/>
          <w:p>
            <w:pPr>
              <w:pStyle w:val="Compact"/>
              <w:jc w:val="right"/>
            </w:pPr>
            <w:r>
              <w:t xml:space="preserve">100.0%</w:t>
            </w:r>
          </w:p>
        </w:tc>
      </w:tr>
      <w:tr>
        <w:tc>
          <w:tcPr/>
          <w:p>
            <w:pPr>
              <w:pStyle w:val="Compact"/>
              <w:jc w:val="left"/>
            </w:pPr>
            <w:r>
              <w:t xml:space="preserve">Instrumentation and partial-annotation flags</w:t>
            </w:r>
          </w:p>
        </w:tc>
        <w:tc>
          <w:tcPr/>
          <w:p>
            <w:pPr>
              <w:pStyle w:val="Compact"/>
              <w:jc w:val="right"/>
            </w:pPr>
            <w:r>
              <w:t xml:space="preserve">802</w:t>
            </w:r>
          </w:p>
        </w:tc>
        <w:tc>
          <w:tcPr/>
          <w:p>
            <w:pPr>
              <w:pStyle w:val="Compact"/>
              <w:jc w:val="right"/>
            </w:pPr>
            <w:r>
              <w:t xml:space="preserve">100.0%</w:t>
            </w:r>
          </w:p>
        </w:tc>
      </w:tr>
      <w:tr>
        <w:tc>
          <w:tcPr/>
          <w:p>
            <w:pPr>
              <w:pStyle w:val="Compact"/>
              <w:jc w:val="left"/>
            </w:pPr>
            <w:r>
              <w:t xml:space="preserve">Image/label alignment check</w:t>
            </w:r>
          </w:p>
        </w:tc>
        <w:tc>
          <w:tcPr/>
          <w:p>
            <w:pPr>
              <w:pStyle w:val="Compact"/>
              <w:jc w:val="right"/>
            </w:pPr>
            <w:r>
              <w:t xml:space="preserve">802</w:t>
            </w:r>
          </w:p>
        </w:tc>
        <w:tc>
          <w:tcPr/>
          <w:p>
            <w:pPr>
              <w:pStyle w:val="Compact"/>
              <w:jc w:val="right"/>
            </w:pPr>
            <w:r>
              <w:t xml:space="preserve">100.0%</w:t>
            </w:r>
          </w:p>
        </w:tc>
      </w:tr>
      <w:tr>
        <w:tc>
          <w:tcPr/>
          <w:p>
            <w:pPr>
              <w:pStyle w:val="Compact"/>
              <w:jc w:val="left"/>
            </w:pPr>
            <w:r>
              <w:t xml:space="preserve">Spine series identifier; bone-fraction check</w:t>
            </w:r>
          </w:p>
        </w:tc>
        <w:tc>
          <w:tcPr/>
          <w:p>
            <w:pPr>
              <w:pStyle w:val="Compact"/>
              <w:jc w:val="right"/>
            </w:pPr>
            <w:r>
              <w:t xml:space="preserve">782</w:t>
            </w:r>
          </w:p>
        </w:tc>
        <w:tc>
          <w:tcPr/>
          <w:p>
            <w:pPr>
              <w:pStyle w:val="Compact"/>
              <w:jc w:val="right"/>
            </w:pPr>
            <w:r>
              <w:t xml:space="preserve">97.5%</w:t>
            </w:r>
          </w:p>
        </w:tc>
      </w:tr>
      <w:tr>
        <w:tc>
          <w:tcPr/>
          <w:p>
            <w:pPr>
              <w:pStyle w:val="Compact"/>
              <w:jc w:val="left"/>
            </w:pPr>
            <w:r>
              <w:t xml:space="preserve">Scanner manufacturer and model</w:t>
            </w:r>
          </w:p>
        </w:tc>
        <w:tc>
          <w:tcPr/>
          <w:p>
            <w:pPr>
              <w:pStyle w:val="Compact"/>
              <w:jc w:val="right"/>
            </w:pPr>
            <w:r>
              <w:t xml:space="preserve">768</w:t>
            </w:r>
          </w:p>
        </w:tc>
        <w:tc>
          <w:tcPr/>
          <w:p>
            <w:pPr>
              <w:pStyle w:val="Compact"/>
              <w:jc w:val="right"/>
            </w:pPr>
            <w:r>
              <w:t xml:space="preserve">95.8%</w:t>
            </w:r>
          </w:p>
        </w:tc>
      </w:tr>
      <w:tr>
        <w:tc>
          <w:tcPr/>
          <w:p>
            <w:pPr>
              <w:pStyle w:val="Compact"/>
              <w:jc w:val="left"/>
            </w:pPr>
            <w:r>
              <w:t xml:space="preserve">Sex</w:t>
            </w:r>
          </w:p>
        </w:tc>
        <w:tc>
          <w:tcPr/>
          <w:p>
            <w:pPr>
              <w:pStyle w:val="Compact"/>
              <w:jc w:val="right"/>
            </w:pPr>
            <w:r>
              <w:t xml:space="preserve">749</w:t>
            </w:r>
          </w:p>
        </w:tc>
        <w:tc>
          <w:tcPr/>
          <w:p>
            <w:pPr>
              <w:pStyle w:val="Compact"/>
              <w:jc w:val="right"/>
            </w:pPr>
            <w:r>
              <w:t xml:space="preserve">93.4%</w:t>
            </w:r>
          </w:p>
        </w:tc>
      </w:tr>
      <w:tr>
        <w:tc>
          <w:tcPr/>
          <w:p>
            <w:pPr>
              <w:pStyle w:val="Compact"/>
              <w:jc w:val="left"/>
            </w:pPr>
            <w:r>
              <w:t xml:space="preserve">Age</w:t>
            </w:r>
          </w:p>
        </w:tc>
        <w:tc>
          <w:tcPr/>
          <w:p>
            <w:pPr>
              <w:pStyle w:val="Compact"/>
              <w:jc w:val="right"/>
            </w:pPr>
            <w:r>
              <w:t xml:space="preserve">709</w:t>
            </w:r>
          </w:p>
        </w:tc>
        <w:tc>
          <w:tcPr/>
          <w:p>
            <w:pPr>
              <w:pStyle w:val="Compact"/>
              <w:jc w:val="right"/>
            </w:pPr>
            <w:r>
              <w:t xml:space="preserve">88.4%</w:t>
            </w:r>
          </w:p>
        </w:tc>
      </w:tr>
      <w:tr>
        <w:tc>
          <w:tcPr/>
          <w:p>
            <w:pPr>
              <w:pStyle w:val="Compact"/>
              <w:jc w:val="left"/>
            </w:pPr>
            <w:r>
              <w:t xml:space="preserve">Pelvic series identifier</w:t>
            </w:r>
          </w:p>
        </w:tc>
        <w:tc>
          <w:tcPr/>
          <w:p>
            <w:pPr>
              <w:pStyle w:val="Compact"/>
              <w:jc w:val="right"/>
            </w:pPr>
            <w:r>
              <w:t xml:space="preserve">713</w:t>
            </w:r>
          </w:p>
        </w:tc>
        <w:tc>
          <w:tcPr/>
          <w:p>
            <w:pPr>
              <w:pStyle w:val="Compact"/>
              <w:jc w:val="right"/>
            </w:pPr>
            <w:r>
              <w:t xml:space="preserve">88.9%</w:t>
            </w:r>
          </w:p>
        </w:tc>
      </w:tr>
      <w:tr>
        <w:tc>
          <w:tcPr/>
          <w:p>
            <w:pPr>
              <w:pStyle w:val="Compact"/>
              <w:jc w:val="left"/>
            </w:pPr>
            <w:r>
              <w:t xml:space="preserve">Castellvi grade</w:t>
            </w:r>
          </w:p>
        </w:tc>
        <w:tc>
          <w:tcPr/>
          <w:p>
            <w:pPr>
              <w:pStyle w:val="Compact"/>
              <w:jc w:val="right"/>
            </w:pPr>
            <w:r>
              <w:t xml:space="preserve">33</w:t>
            </w:r>
          </w:p>
        </w:tc>
        <w:tc>
          <w:tcPr/>
          <w:p>
            <w:pPr>
              <w:pStyle w:val="Compact"/>
              <w:jc w:val="right"/>
            </w:pPr>
            <w:r>
              <w:t xml:space="preserve">4.1%</w:t>
            </w:r>
          </w:p>
        </w:tc>
      </w:tr>
    </w:tbl>
    <w:p>
      <w:pPr>
        <w:pStyle w:val="BodyText"/>
      </w:pPr>
      <w:r>
        <w:t xml:space="preserve">Table </w:t>
      </w:r>
      <w:hyperlink w:anchor="tab:completeness">
        <w:r>
          <w:rPr>
            <w:rStyle w:val="Hyperlink"/>
          </w:rPr>
          <w:t xml:space="preserve">[tab:completeness]</w:t>
        </w:r>
      </w:hyperlink>
      <w:r>
        <w:t xml:space="preserve"> </w:t>
      </w:r>
      <w:r>
        <w:t xml:space="preserve">lists the key data types and metadata against the fraction of</w:t>
      </w:r>
      <w:r>
        <w:t xml:space="preserve"> </w:t>
      </w:r>
      <w:r>
        <w:t xml:space="preserve">records for which each is populated. Two entries are worth reading carefully. The Castellvi</w:t>
      </w:r>
      <w:r>
        <w:t xml:space="preserve"> </w:t>
      </w:r>
      <w:r>
        <w:t xml:space="preserve">grade is present for 4.1% of records because it is defined only for the transitional ones;</w:t>
      </w:r>
      <w:r>
        <w:t xml:space="preserve"> </w:t>
      </w:r>
      <w:r>
        <w:t xml:space="preserve">among those it is complete. A pelvic series identifier is present for 88.9% because the</w:t>
      </w:r>
      <w:r>
        <w:t xml:space="preserve"> </w:t>
      </w:r>
      <w:r>
        <w:t xml:space="preserve">crosswalk records it only where a pelvic annotation was actually placed, and users joining</w:t>
      </w:r>
      <w:r>
        <w:t xml:space="preserve"> </w:t>
      </w:r>
      <w:r>
        <w:t xml:space="preserve">on it should expect the shortfall rather than treat it as loss.</w:t>
      </w:r>
    </w:p>
    <w:p>
      <w:pPr>
        <w:pStyle w:val="BodyText"/>
      </w:pPr>
      <w:r>
        <w:t xml:space="preserve">The archive of record is Zenodo (). Code and documentation are on GitHub at</w:t>
      </w:r>
      <w:r>
        <w:t xml:space="preserve"> </w:t>
      </w:r>
      <w:r>
        <w:t xml:space="preserve">the tagged release commit; any model-hub copy is a convenience mirror, not the archive.</w:t>
      </w:r>
    </w:p>
    <w:bookmarkEnd w:id="35"/>
    <w:bookmarkStart w:id="44" w:name="sec:descriptive"/>
    <w:p>
      <w:pPr>
        <w:pStyle w:val="Heading1"/>
      </w:pPr>
      <w:r>
        <w:t xml:space="preserve">Descriptive Analysis</w:t>
      </w:r>
    </w:p>
    <w:bookmarkStart w:id="39" w:name="fig:countfree"/>
    <w:p>
      <w:pPr>
        <w:pStyle w:val="CaptionedFigure"/>
      </w:pPr>
      <w:r>
        <w:drawing>
          <wp:inline>
            <wp:extent cx="5334000" cy="1851644"/>
            <wp:effectExtent b="0" l="0" r="0" t="0"/>
            <wp:docPr descr="" title="" id="37" name="Picture"/>
            <a:graphic>
              <a:graphicData uri="http://schemas.openxmlformats.org/drawingml/2006/picture">
                <pic:pic>
                  <pic:nvPicPr>
                    <pic:cNvPr descr="figures/fig_countfree.pdf" id="38" name="Picture"/>
                    <pic:cNvPicPr>
                      <a:picLocks noChangeArrowheads="1" noChangeAspect="1"/>
                    </pic:cNvPicPr>
                  </pic:nvPicPr>
                  <pic:blipFill>
                    <a:blip r:embed="rId36"/>
                    <a:stretch>
                      <a:fillRect/>
                    </a:stretch>
                  </pic:blipFill>
                  <pic:spPr bwMode="auto">
                    <a:xfrm>
                      <a:off x="0" y="0"/>
                      <a:ext cx="5334000" cy="1851644"/>
                    </a:xfrm>
                    <a:prstGeom prst="rect">
                      <a:avLst/>
                    </a:prstGeom>
                    <a:noFill/>
                    <a:ln w="9525">
                      <a:noFill/>
                      <a:headEnd/>
                      <a:tailEnd/>
                    </a:ln>
                  </pic:spPr>
                </pic:pic>
              </a:graphicData>
            </a:graphic>
          </wp:inline>
        </w:drawing>
      </w:r>
    </w:p>
    <w:p>
      <w:pPr>
        <w:pStyle w:val="ImageCaption"/>
      </w:pPr>
      <w:r>
        <w:t xml:space="preserve">Count-free measures, valid without knowing which vertebra is which.</w:t>
      </w:r>
      <w:r>
        <w:t xml:space="preserve"> </w:t>
      </w:r>
      <w:r>
        <w:t xml:space="preserve">(a) Vertebrae between the lowest rib and the sacrum: an interval, not a level assignment.</w:t>
      </w:r>
      <w:r>
        <w:t xml:space="preserve"> </w:t>
      </w:r>
      <w:r>
        <w:t xml:space="preserve">(b) Lowest rib length as a fraction of the rib above, showing two populations near 0.33</w:t>
      </w:r>
      <w:r>
        <w:t xml:space="preserve"> </w:t>
      </w:r>
      <w:r>
        <w:t xml:space="preserve">and 0.69 rather than one distribution with a tail. (c) Lowest lumbar transverse span</w:t>
      </w:r>
      <w:r>
        <w:t xml:space="preserve"> </w:t>
      </w:r>
      <w:r>
        <w:t xml:space="preserve">against its gap to the sacral ala; cases carrying a source transitional label are marked.</w:t>
      </w:r>
    </w:p>
    <w:bookmarkEnd w:id="39"/>
    <w:p>
      <w:pPr>
        <w:pStyle w:val="BodyText"/>
      </w:pPr>
      <w:r>
        <w:t xml:space="preserve">The cohort is a colorectal cancer screening population of 802 records. 738 are recorded</w:t>
      </w:r>
      <w:r>
        <w:t xml:space="preserve"> </w:t>
      </w:r>
      <w:r>
        <w:t xml:space="preserve">female (393) or male (345); 11 carry DICOM’s</w:t>
      </w:r>
      <w:r>
        <w:t xml:space="preserve"> </w:t>
      </w:r>
      <w:r>
        <w:rPr>
          <w:i/>
          <w:iCs/>
        </w:rPr>
        <w:t xml:space="preserve">other</w:t>
      </w:r>
      <w:r>
        <w:t xml:space="preserve"> </w:t>
      </w:r>
      <w:r>
        <w:t xml:space="preserve">value, a recorded value and not a</w:t>
      </w:r>
      <w:r>
        <w:t xml:space="preserve"> </w:t>
      </w:r>
      <w:r>
        <w:t xml:space="preserve">missing one, and 53 carry no sex field. Age is present for 709 (median 59, range 50–89).</w:t>
      </w:r>
      <w:r>
        <w:t xml:space="preserve"> </w:t>
      </w:r>
      <w:r>
        <w:t xml:space="preserve">All 802 are counted in totals, and records outside the female/male dichotomy are excluded</w:t>
      </w:r>
      <w:r>
        <w:t xml:space="preserve"> </w:t>
      </w:r>
      <w:r>
        <w:t xml:space="preserve">from sex-stratified measures — a limitation of those measures rather than of the cohort,</w:t>
      </w:r>
      <w:r>
        <w:t xml:space="preserve"> </w:t>
      </w:r>
      <w:r>
        <w:t xml:space="preserve">stated because folding eleven people into</w:t>
      </w:r>
      <w:r>
        <w:t xml:space="preserve"> </w:t>
      </w:r>
      <w:r>
        <w:t xml:space="preserve">“unrecorded”</w:t>
      </w:r>
      <w:r>
        <w:t xml:space="preserve"> </w:t>
      </w:r>
      <w:r>
        <w:t xml:space="preserve">would misdescribe the source. The lower age bound is the screening guideline</w:t>
      </w:r>
      <w:r>
        <w:t xml:space="preserve"> </w:t>
      </w:r>
      <w:r>
        <w:t xml:space="preserve">rather than a selection applied here, and it is why the measures below sit closer to a</w:t>
      </w:r>
      <w:r>
        <w:t xml:space="preserve"> </w:t>
      </w:r>
      <w:r>
        <w:t xml:space="preserve">reference range than a surgical series would.</w:t>
      </w:r>
    </w:p>
    <w:p>
      <w:pPr>
        <w:pStyle w:val="BodyText"/>
      </w:pPr>
      <w:r>
        <w:rPr>
          <w:i/>
          <w:iCs/>
        </w:rPr>
        <w:t xml:space="preserve">Count-free measures</w:t>
      </w:r>
      <w:r>
        <w:t xml:space="preserve"> </w:t>
      </w:r>
      <w:r>
        <w:t xml:space="preserve">(Fig. </w:t>
      </w:r>
      <w:hyperlink w:anchor="fig:countfree">
        <w:r>
          <w:rPr>
            <w:rStyle w:val="Hyperlink"/>
          </w:rPr>
          <w:t xml:space="preserve">3</w:t>
        </w:r>
      </w:hyperlink>
      <w:r>
        <w:t xml:space="preserve">). Five rib-free vertebrae above the</w:t>
      </w:r>
      <w:r>
        <w:t xml:space="preserve"> </w:t>
      </w:r>
      <w:r>
        <w:t xml:space="preserve">sacrum is typical; four and six are where transitional anatomy sits, and which of the two</w:t>
      </w:r>
      <w:r>
        <w:t xml:space="preserve"> </w:t>
      </w:r>
      <w:r>
        <w:t xml:space="preserve">is present does not by itself determine what to call it. The lowest-rib length ratio is bimodal.</w:t>
      </w:r>
    </w:p>
    <w:p>
      <w:pPr>
        <w:pStyle w:val="BodyText"/>
      </w:pPr>
      <w:r>
        <w:rPr>
          <w:i/>
          <w:iCs/>
        </w:rPr>
        <w:t xml:space="preserve">Level gradients and spinopelvic measures</w:t>
      </w:r>
      <w:r>
        <w:t xml:space="preserve"> </w:t>
      </w:r>
      <w:r>
        <w:t xml:space="preserve">(Fig. </w:t>
      </w:r>
      <w:hyperlink w:anchor="fig:validation">
        <w:r>
          <w:rPr>
            <w:rStyle w:val="Hyperlink"/>
          </w:rPr>
          <w:t xml:space="preserve">4</w:t>
        </w:r>
      </w:hyperlink>
      <w:r>
        <w:t xml:space="preserve">). Vertebral</w:t>
      </w:r>
      <w:r>
        <w:t xml:space="preserve"> </w:t>
      </w:r>
      <w:r>
        <w:t xml:space="preserve">dimensions increase caudally in step with the load each level carries. Pelvic incidence</w:t>
      </w:r>
      <w:r>
        <w:t xml:space="preserve"> </w:t>
      </w:r>
      <w:r>
        <w:t xml:space="preserve">does not vary with age, while pelvic tilt increases — the descriptive signature of a</w:t>
      </w:r>
      <w:r>
        <w:t xml:space="preserve"> </w:t>
      </w:r>
      <w:r>
        <w:t xml:space="preserve">pelvis retroverting as a spine ages.</w:t>
      </w:r>
    </w:p>
    <w:bookmarkStart w:id="43" w:name="fig:validation"/>
    <w:p>
      <w:pPr>
        <w:pStyle w:val="CaptionedFigure"/>
      </w:pPr>
      <w:r>
        <w:drawing>
          <wp:inline>
            <wp:extent cx="5334000" cy="1399254"/>
            <wp:effectExtent b="0" l="0" r="0" t="0"/>
            <wp:docPr descr="" title="" id="41" name="Picture"/>
            <a:graphic>
              <a:graphicData uri="http://schemas.openxmlformats.org/drawingml/2006/picture">
                <pic:pic>
                  <pic:nvPicPr>
                    <pic:cNvPr descr="figures/fig_validation.pdf" id="42" name="Picture"/>
                    <pic:cNvPicPr>
                      <a:picLocks noChangeArrowheads="1" noChangeAspect="1"/>
                    </pic:cNvPicPr>
                  </pic:nvPicPr>
                  <pic:blipFill>
                    <a:blip r:embed="rId40"/>
                    <a:stretch>
                      <a:fillRect/>
                    </a:stretch>
                  </pic:blipFill>
                  <pic:spPr bwMode="auto">
                    <a:xfrm>
                      <a:off x="0" y="0"/>
                      <a:ext cx="5334000" cy="1399254"/>
                    </a:xfrm>
                    <a:prstGeom prst="rect">
                      <a:avLst/>
                    </a:prstGeom>
                    <a:noFill/>
                    <a:ln w="9525">
                      <a:noFill/>
                      <a:headEnd/>
                      <a:tailEnd/>
                    </a:ln>
                  </pic:spPr>
                </pic:pic>
              </a:graphicData>
            </a:graphic>
          </wp:inline>
        </w:drawing>
      </w:r>
    </w:p>
    <w:p>
      <w:pPr>
        <w:pStyle w:val="ImageCaption"/>
      </w:pPr>
      <w:r>
        <w:t xml:space="preserve">Spinopelvic measures against published reference bands (mean</w:t>
      </w:r>
      <w:r>
        <w:t xml:space="preserve"> </w:t>
      </w:r>
      <m:oMath>
        <m:r>
          <m:rPr>
            <m:sty m:val="p"/>
          </m:rPr>
          <m:t>±</m:t>
        </m:r>
      </m:oMath>
      <w:r>
        <w:t xml:space="preserve"> </w:t>
      </w:r>
      <w:r>
        <w:t xml:space="preserve">SD)</w:t>
      </w:r>
      <w:r>
        <w:t xml:space="preserve"> </w:t>
      </w:r>
      <w:r>
        <w:t xml:space="preserve">from an asymptomatic standing cohort.</w:t>
      </w:r>
      <w:r>
        <w:t xml:space="preserve"> </w:t>
      </w:r>
      <w:r>
        <w:t xml:space="preserve">Sacral slope is expected to sit</w:t>
      </w:r>
      <w:r>
        <w:t xml:space="preserve"> </w:t>
      </w:r>
      <w:r>
        <w:t xml:space="preserve">below a standing reference because it is postural and this cohort is supine; pelvic</w:t>
      </w:r>
      <w:r>
        <w:t xml:space="preserve"> </w:t>
      </w:r>
      <w:r>
        <w:t xml:space="preserve">incidence is not postural, which is why it can be compared without apology and why its</w:t>
      </w:r>
      <w:r>
        <w:t xml:space="preserve"> </w:t>
      </w:r>
      <w:r>
        <w:t xml:space="preserve">agreement is the strongest check here.</w:t>
      </w:r>
    </w:p>
    <w:bookmarkEnd w:id="43"/>
    <w:p>
      <w:pPr>
        <w:pStyle w:val="BodyText"/>
      </w:pPr>
      <w:r>
        <w:rPr>
          <w:i/>
          <w:iCs/>
        </w:rPr>
        <w:t xml:space="preserve">Opportunistic measures.</w:t>
      </w:r>
      <w:r>
        <w:t xml:space="preserve"> </w:t>
      </w:r>
      <w:r>
        <w:t xml:space="preserve">Every scan carries a</w:t>
      </w:r>
      <w:r>
        <w:t xml:space="preserve"> </w:t>
      </w:r>
      <w:r>
        <w:t xml:space="preserve">vertebral bone density measurement at no additional dose.</w:t>
      </w:r>
      <w:r>
        <w:t xml:space="preserve"> </w:t>
      </w:r>
      <w:r>
        <w:t xml:space="preserve">L1 trabecular attenuation is</w:t>
      </w:r>
      <w:r>
        <w:t xml:space="preserve"> </w:t>
      </w:r>
      <w:r>
        <w:t xml:space="preserve">reported at the published standard site.</w:t>
      </w:r>
    </w:p>
    <w:bookmarkEnd w:id="44"/>
    <w:bookmarkStart w:id="50" w:name="sec:applications"/>
    <w:p>
      <w:pPr>
        <w:pStyle w:val="Heading1"/>
      </w:pPr>
      <w:r>
        <w:t xml:space="preserve">Potential Applications and Limitations</w:t>
      </w:r>
    </w:p>
    <w:p>
      <w:pPr>
        <w:pStyle w:val="FirstParagraph"/>
      </w:pPr>
      <w:r>
        <w:t xml:space="preserve">The principal use is the</w:t>
      </w:r>
      <w:r>
        <w:t xml:space="preserve"> </w:t>
      </w:r>
      <w:r>
        <w:rPr>
          <w:i/>
          <w:iCs/>
        </w:rPr>
        <w:t xml:space="preserve">spinopelvic interface</w:t>
      </w:r>
      <w:r>
        <w:t xml:space="preserve">: spine and pelvis carry</w:t>
      </w:r>
      <w:r>
        <w:t xml:space="preserve"> </w:t>
      </w:r>
      <w:r>
        <w:t xml:space="preserve">radiologist-sourced annotation on one coordinate frame in 802 records, which makes sacral</w:t>
      </w:r>
      <w:r>
        <w:t xml:space="preserve"> </w:t>
      </w:r>
      <w:r>
        <w:t xml:space="preserve">morphology measurable against the lumbar column rather than in isolation — the sacral</w:t>
      </w:r>
      <w:r>
        <w:t xml:space="preserve"> </w:t>
      </w:r>
      <w:r>
        <w:t xml:space="preserve">endplate and its slope, the alar corridors constraining S2-alar-iliac and iliac screw</w:t>
      </w:r>
      <w:r>
        <w:t xml:space="preserve"> </w:t>
      </w:r>
      <w:r>
        <w:t xml:space="preserve">trajectories, and the L5–S1 geometry a lumbosacral fusion must cross. Pelvic incidence is</w:t>
      </w:r>
      <w:r>
        <w:t xml:space="preserve"> </w:t>
      </w:r>
      <w:r>
        <w:t xml:space="preserve">derived from the segmented sacrum and femoral heads rather than from landmarks placed on a</w:t>
      </w:r>
      <w:r>
        <w:t xml:space="preserve"> </w:t>
      </w:r>
      <w:r>
        <w:t xml:space="preserve">radiograph, so it is reproducible from the labels themselves.</w:t>
      </w:r>
    </w:p>
    <w:p>
      <w:pPr>
        <w:pStyle w:val="BodyText"/>
      </w:pPr>
      <w:r>
        <w:t xml:space="preserve">The transitional layer serves that use rather than competing with it: no trajectory can be</w:t>
      </w:r>
      <w:r>
        <w:t xml:space="preserve"> </w:t>
      </w:r>
      <w:r>
        <w:t xml:space="preserve">planned across a junction whose segments cannot be named. Level-numbering benchmarks,</w:t>
      </w:r>
      <w:r>
        <w:t xml:space="preserve"> </w:t>
      </w:r>
      <w:r>
        <w:t xml:space="preserve">variant studies and opportunistic screening follow from the same annotation.</w:t>
      </w:r>
    </w:p>
    <w:bookmarkStart w:id="49" w:name="X1e405bcd3081b4ebb91076491188f6b710d9489"/>
    <w:p>
      <w:pPr>
        <w:pStyle w:val="Heading2"/>
      </w:pPr>
      <w:r>
        <w:t xml:space="preserve">Three uses the released measurements support</w:t>
      </w:r>
    </w:p>
    <w:p>
      <w:pPr>
        <w:pStyle w:val="FirstParagraph"/>
      </w:pPr>
      <w:r>
        <w:rPr>
          <w:i/>
          <w:iCs/>
        </w:rPr>
        <w:t xml:space="preserve">Naming a level from its own geometry.</w:t>
      </w:r>
      <w:r>
        <w:t xml:space="preserve"> </w:t>
      </w:r>
      <w:r>
        <w:t xml:space="preserve">Wrong-level spine surgery runs at roughly one in</w:t>
      </w:r>
      <w:r>
        <w:t xml:space="preserve"> </w:t>
      </w:r>
      <w:r>
        <w:t xml:space="preserve">3</w:t>
      </w:r>
      <w:r>
        <w:t xml:space="preserve">,</w:t>
      </w:r>
      <w:r>
        <w:t xml:space="preserve">110 spinal procedures, and the cause most often cited is the transitional anatomy this</w:t>
      </w:r>
      <w:r>
        <w:t xml:space="preserve"> </w:t>
      </w:r>
      <w:r>
        <w:t xml:space="preserve">cohort was assembled around.</w:t>
      </w:r>
      <w:r>
        <w:t xml:space="preserve"> </w:t>
      </w:r>
      <w:r>
        <w:t xml:space="preserve">The failure is structural rather than careless:</w:t>
      </w:r>
      <w:r>
        <w:t xml:space="preserve"> </w:t>
      </w:r>
      <w:r>
        <w:t xml:space="preserve">the count is ambiguous exactly where the variant sits. Per-level body height, canal width,</w:t>
      </w:r>
      <w:r>
        <w:t xml:space="preserve"> </w:t>
      </w:r>
      <w:r>
        <w:t xml:space="preserve">endplate width, transverse-process span and wedge ratio are released for T11–L5 across all</w:t>
      </w:r>
      <w:r>
        <w:t xml:space="preserve"> </w:t>
      </w:r>
      <w:r>
        <w:t xml:space="preserve">802 records, and because the labels were assigned against the twelfth rib rather than by</w:t>
      </w:r>
      <w:r>
        <w:t xml:space="preserve"> </w:t>
      </w:r>
      <w:r>
        <w:t xml:space="preserve">enumeration, a model trained on them is not learning the convention that fails.</w:t>
      </w:r>
    </w:p>
    <w:bookmarkStart w:id="48" w:name="fig:levelatlas"/>
    <w:p>
      <w:pPr>
        <w:pStyle w:val="CaptionedFigure"/>
      </w:pPr>
      <w:r>
        <w:drawing>
          <wp:inline>
            <wp:extent cx="5334000" cy="3185583"/>
            <wp:effectExtent b="0" l="0" r="0" t="0"/>
            <wp:docPr descr="" title="" id="46" name="Picture"/>
            <a:graphic>
              <a:graphicData uri="http://schemas.openxmlformats.org/drawingml/2006/picture">
                <pic:pic>
                  <pic:nvPicPr>
                    <pic:cNvPr descr="figures/fig_levelatlas.pdf" id="47" name="Picture"/>
                    <pic:cNvPicPr>
                      <a:picLocks noChangeArrowheads="1" noChangeAspect="1"/>
                    </pic:cNvPicPr>
                  </pic:nvPicPr>
                  <pic:blipFill>
                    <a:blip r:embed="rId45"/>
                    <a:stretch>
                      <a:fillRect/>
                    </a:stretch>
                  </pic:blipFill>
                  <pic:spPr bwMode="auto">
                    <a:xfrm>
                      <a:off x="0" y="0"/>
                      <a:ext cx="5334000" cy="3185583"/>
                    </a:xfrm>
                    <a:prstGeom prst="rect">
                      <a:avLst/>
                    </a:prstGeom>
                    <a:noFill/>
                    <a:ln w="9525">
                      <a:noFill/>
                      <a:headEnd/>
                      <a:tailEnd/>
                    </a:ln>
                  </pic:spPr>
                </pic:pic>
              </a:graphicData>
            </a:graphic>
          </wp:inline>
        </w:drawing>
      </w:r>
    </w:p>
    <w:p>
      <w:pPr>
        <w:pStyle w:val="ImageCaption"/>
      </w:pPr>
      <w:r>
        <w:t xml:space="preserve">Lumbar and lower thoracic morphometry by level, in the format the standard</w:t>
      </w:r>
      <w:r>
        <w:t xml:space="preserve"> </w:t>
      </w:r>
      <w:r>
        <w:t xml:space="preserve">reference figures use — level on the vertical axis, measurement on the horizontal.</w:t>
      </w:r>
      <w:r>
        <w:t xml:space="preserve"> </w:t>
      </w:r>
      <w:r>
        <w:t xml:space="preserve">Marker, median; bar, interquartile range; line, 5th–95th percentile; the number at the</w:t>
      </w:r>
      <w:r>
        <w:t xml:space="preserve"> </w:t>
      </w:r>
      <w:r>
        <w:t xml:space="preserve">right of a row is its</w:t>
      </w:r>
      <w:r>
        <w:t xml:space="preserve"> </w:t>
      </w:r>
      <m:oMath>
        <m:r>
          <m:t>n</m:t>
        </m:r>
      </m:oMath>
      <w:r>
        <w:t xml:space="preserve">. (a) Vertebral body height, ventral against dorsal. (b) Superior</w:t>
      </w:r>
      <w:r>
        <w:t xml:space="preserve"> </w:t>
      </w:r>
      <w:r>
        <w:t xml:space="preserve">endplate width. (c) Canal width against depth. (d) Transverse pedicle width. (e) Disc</w:t>
      </w:r>
      <w:r>
        <w:t xml:space="preserve"> </w:t>
      </w:r>
      <w:r>
        <w:t xml:space="preserve">height, drawn at the interspace it occupies. (f) Trabecular attenuation at the published</w:t>
      </w:r>
      <w:r>
        <w:t xml:space="preserve"> </w:t>
      </w:r>
      <w:r>
        <w:t xml:space="preserve">opportunistic-screening site. Coverage is not uniform and is drawn rather than assumed:</w:t>
      </w:r>
      <w:r>
        <w:t xml:space="preserve"> </w:t>
      </w:r>
      <w:r>
        <w:t xml:space="preserve">canal depth and pedicle width rest on 330–656 records because they need an axial extent</w:t>
      </w:r>
      <w:r>
        <w:t xml:space="preserve"> </w:t>
      </w:r>
      <w:r>
        <w:t xml:space="preserve">many field-limited series do not carry, while the remaining measures rest on 720–784.</w:t>
      </w:r>
      <w:r>
        <w:t xml:space="preserve"> </w:t>
      </w:r>
      <w:r>
        <w:t xml:space="preserve">No comparison between levels is tested and none is implied; the intervals are dispersion.</w:t>
      </w:r>
    </w:p>
    <w:bookmarkEnd w:id="48"/>
    <w:p>
      <w:pPr>
        <w:pStyle w:val="BodyText"/>
      </w:pPr>
      <w:r>
        <w:rPr>
          <w:i/>
          <w:iCs/>
        </w:rPr>
        <w:t xml:space="preserve">Reference morphometry with its spread.</w:t>
      </w:r>
      <w:r>
        <w:t xml:space="preserve"> </w:t>
      </w:r>
      <w:r>
        <w:t xml:space="preserve">The values a surgeon consults for vertebral</w:t>
      </w:r>
      <w:r>
        <w:t xml:space="preserve"> </w:t>
      </w:r>
      <w:r>
        <w:t xml:space="preserve">body height, canal dimensions and pedicle width come from cadaveric series of a few dozen</w:t>
      </w:r>
      <w:r>
        <w:t xml:space="preserve"> </w:t>
      </w:r>
      <w:r>
        <w:t xml:space="preserve">specimens, plotted as single values with no indication of spread.</w:t>
      </w:r>
      <w:r>
        <w:t xml:space="preserve"> </w:t>
      </w:r>
      <w:r>
        <w:t xml:space="preserve">They</w:t>
      </w:r>
      <w:r>
        <w:t xml:space="preserve"> </w:t>
      </w:r>
      <w:r>
        <w:t xml:space="preserve">cannot tell a reader whether the patient in front of them is unusual, because they never</w:t>
      </w:r>
      <w:r>
        <w:t xml:space="preserve"> </w:t>
      </w:r>
      <w:r>
        <w:t xml:space="preserve">show what usual looks like. The same measures are given here from 802 records with the</w:t>
      </w:r>
      <w:r>
        <w:t xml:space="preserve"> </w:t>
      </w:r>
      <w:r>
        <w:t xml:space="preserve">distribution attached (Fig. </w:t>
      </w:r>
      <w:hyperlink w:anchor="fig:levelatlas">
        <w:r>
          <w:rPr>
            <w:rStyle w:val="Hyperlink"/>
          </w:rPr>
          <w:t xml:space="preserve">5</w:t>
        </w:r>
      </w:hyperlink>
      <w:r>
        <w:t xml:space="preserve">), reproducing two properties of the</w:t>
      </w:r>
      <w:r>
        <w:t xml:space="preserve"> </w:t>
      </w:r>
      <w:r>
        <w:t xml:space="preserve">classical figures — body height crosses over, dorsal exceeding ventral at T11–T12 and</w:t>
      </w:r>
      <w:r>
        <w:t xml:space="preserve"> </w:t>
      </w:r>
      <w:r>
        <w:t xml:space="preserve">reversing by L4–L5, and pedicle width widens steeply into the lower lumbar spine — and</w:t>
      </w:r>
      <w:r>
        <w:t xml:space="preserve"> </w:t>
      </w:r>
      <w:r>
        <w:t xml:space="preserve">adding the width of each distribution, which is the part needed to judge an individual. A</w:t>
      </w:r>
      <w:r>
        <w:t xml:space="preserve"> </w:t>
      </w:r>
      <w:r>
        <w:t xml:space="preserve">larger</w:t>
      </w:r>
      <w:r>
        <w:t xml:space="preserve"> </w:t>
      </w:r>
      <m:oMath>
        <m:r>
          <m:t>n</m:t>
        </m:r>
      </m:oMath>
      <w:r>
        <w:t xml:space="preserve"> </w:t>
      </w:r>
      <w:r>
        <w:t xml:space="preserve">sharpens a distribution without changing the population it came from, and this</w:t>
      </w:r>
      <w:r>
        <w:t xml:space="preserve"> </w:t>
      </w:r>
      <w:r>
        <w:t xml:space="preserve">one is a screening cohort aged 50 and over.</w:t>
      </w:r>
    </w:p>
    <w:p>
      <w:pPr>
        <w:pStyle w:val="BodyText"/>
      </w:pPr>
      <w:r>
        <w:rPr>
          <w:i/>
          <w:iCs/>
        </w:rPr>
        <w:t xml:space="preserve">Patient-specific models.</w:t>
      </w:r>
      <w:r>
        <w:t xml:space="preserve"> </w:t>
      </w:r>
      <w:r>
        <w:t xml:space="preserve">Planning is moving toward patient-specific biomechanical</w:t>
      </w:r>
      <w:r>
        <w:t xml:space="preserve"> </w:t>
      </w:r>
      <w:r>
        <w:t xml:space="preserve">models rather than population norms.</w:t>
      </w:r>
      <w:r>
        <w:t xml:space="preserve"> </w:t>
      </w:r>
      <w:r>
        <w:t xml:space="preserve">Such a model needs spine, pelvis and</w:t>
      </w:r>
      <w:r>
        <w:t xml:space="preserve"> </w:t>
      </w:r>
      <w:r>
        <w:t xml:space="preserve">femoral heads in one frame, which is this release’s construction; in 351 patients the</w:t>
      </w:r>
      <w:r>
        <w:t xml:space="preserve"> </w:t>
      </w:r>
      <w:r>
        <w:t xml:space="preserve">annotation sits on two acquisitions in different positions, giving a within-patient change in</w:t>
      </w:r>
      <w:r>
        <w:t xml:space="preserve"> </w:t>
      </w:r>
      <w:r>
        <w:t xml:space="preserve">alignment against which a predicted postural response can be checked.</w:t>
      </w:r>
    </w:p>
    <w:p>
      <w:pPr>
        <w:pStyle w:val="BodyText"/>
      </w:pPr>
      <w:r>
        <w:t xml:space="preserve">Its limitations are part of it, and they are stated at the level of detail a reader would</w:t>
      </w:r>
      <w:r>
        <w:t xml:space="preserve"> </w:t>
      </w:r>
      <w:r>
        <w:t xml:space="preserve">need to catch them independently.</w:t>
      </w:r>
    </w:p>
    <w:p>
      <w:pPr>
        <w:pStyle w:val="BodyText"/>
      </w:pPr>
      <w:r>
        <w:rPr>
          <w:i/>
          <w:iCs/>
        </w:rPr>
        <w:t xml:space="preserve">Coverage.</w:t>
      </w:r>
      <w:r>
        <w:t xml:space="preserve"> </w:t>
      </w:r>
      <w:r>
        <w:t xml:space="preserve">Thoracic ground truth is field-of-view limited and does not extend to T1.</w:t>
      </w:r>
      <w:r>
        <w:t xml:space="preserve"> </w:t>
      </w:r>
      <w:r>
        <w:t xml:space="preserve">Postural angles are supine; pelvic incidence is not postural and needs no such caveat. The</w:t>
      </w:r>
      <w:r>
        <w:t xml:space="preserve"> </w:t>
      </w:r>
      <w:r>
        <w:t xml:space="preserve">cohort is a colorectal screening population aged 50 and over, so its distributions should</w:t>
      </w:r>
      <w:r>
        <w:t xml:space="preserve"> </w:t>
      </w:r>
      <w:r>
        <w:t xml:space="preserve">not be read as representative of a surgical one.</w:t>
      </w:r>
    </w:p>
    <w:p>
      <w:pPr>
        <w:pStyle w:val="BodyText"/>
      </w:pPr>
      <w:r>
        <w:rPr>
          <w:i/>
          <w:iCs/>
        </w:rPr>
        <w:t xml:space="preserve">Declared but empty, and confirmed so.</w:t>
      </w:r>
      <w:r>
        <w:t xml:space="preserve"> </w:t>
      </w:r>
      <w:r>
        <w:t xml:space="preserve">The soft-tissue identifiers (58–73) and the</w:t>
      </w:r>
      <w:r>
        <w:t xml:space="preserve"> </w:t>
      </w:r>
      <w:r>
        <w:t xml:space="preserve">partial-annotation sentinel (255) are declared in the scheme and occur in no record —</w:t>
      </w:r>
      <w:r>
        <w:t xml:space="preserve"> </w:t>
      </w:r>
      <w:r>
        <w:t xml:space="preserve">established by counting identifiers across all 802 released volumes rather than asserted.</w:t>
      </w:r>
      <w:r>
        <w:t xml:space="preserve"> </w:t>
      </w:r>
      <w:r>
        <w:t xml:space="preserve">Both are retained so a later release can use them without renumbering, and their absence</w:t>
      </w:r>
      <w:r>
        <w:t xml:space="preserve"> </w:t>
      </w:r>
      <w:r>
        <w:t xml:space="preserve">should be read as absence of annotation rather than absence of the structure. The hardware</w:t>
      </w:r>
      <w:r>
        <w:t xml:space="preserve"> </w:t>
      </w:r>
      <w:r>
        <w:t xml:space="preserve">identifiers were in this position until v6 and are no longer: 76–82 are populated in the</w:t>
      </w:r>
      <w:r>
        <w:t xml:space="preserve"> </w:t>
      </w:r>
      <w:r>
        <w:t xml:space="preserve">eleven instrumented records described in Sec. </w:t>
      </w:r>
      <w:hyperlink w:anchor="sec:hardware">
        <w:r>
          <w:rPr>
            <w:rStyle w:val="Hyperlink"/>
          </w:rPr>
          <w:t xml:space="preserve">2.9</w:t>
        </w:r>
      </w:hyperlink>
      <w:r>
        <w:t xml:space="preserve">.</w:t>
      </w:r>
    </w:p>
    <w:p>
      <w:pPr>
        <w:pStyle w:val="BodyText"/>
      </w:pPr>
      <w:r>
        <w:rPr>
          <w:i/>
          <w:iCs/>
        </w:rPr>
        <w:t xml:space="preserve">Strength of the labels varies by structure, and the release does not average over</w:t>
      </w:r>
      <w:r>
        <w:rPr>
          <w:i/>
          <w:iCs/>
        </w:rPr>
        <w:t xml:space="preserve"> </w:t>
      </w:r>
      <w:r>
        <w:rPr>
          <w:i/>
          <w:iCs/>
        </w:rPr>
        <w:t xml:space="preserve">that.</w:t>
      </w:r>
      <w:r>
        <w:t xml:space="preserve"> </w:t>
      </w:r>
      <w:r>
        <w:t xml:space="preserve">Vertebral labels derive from radiologist-supervised source annotations, corrected</w:t>
      </w:r>
      <w:r>
        <w:t xml:space="preserve"> </w:t>
      </w:r>
      <w:r>
        <w:t xml:space="preserve">where those sources were wrong. Pelvic labels on records that lacked one are</w:t>
      </w:r>
      <w:r>
        <w:t xml:space="preserve"> </w:t>
      </w:r>
      <w:r>
        <w:t xml:space="preserve">pseudolabeled. The rib layer is a pseudolabel whose human review was triaged by an</w:t>
      </w:r>
      <w:r>
        <w:t xml:space="preserve"> </w:t>
      </w:r>
      <w:r>
        <w:t xml:space="preserve">automated rule rather than exhaustive, so its guarantee is the absence of the failure modes</w:t>
      </w:r>
      <w:r>
        <w:t xml:space="preserve"> </w:t>
      </w:r>
      <w:r>
        <w:t xml:space="preserve">that rule detects. Transitional labels derive from two independent sources and are not</w:t>
      </w:r>
      <w:r>
        <w:t xml:space="preserve"> </w:t>
      </w:r>
      <w:r>
        <w:t xml:space="preserve">uniformly adjudicated — which is precisely why the measures reported here are count-free</w:t>
      </w:r>
      <w:r>
        <w:t xml:space="preserve"> </w:t>
      </w:r>
      <w:r>
        <w:t xml:space="preserve">— and the Castellvi grades were assigned by a radiology resident physician.</w:t>
      </w:r>
      <w:r>
        <w:t xml:space="preserve"> </w:t>
      </w:r>
      <w:r>
        <w:t xml:space="preserve">The sacral sub-division inherits its level from an automatic method, and in 100 records that</w:t>
      </w:r>
      <w:r>
        <w:t xml:space="preserve"> </w:t>
      </w:r>
      <w:r>
        <w:t xml:space="preserve">level places S1 above half the sacrum or below fifteen percent of it, which no first sacral</w:t>
      </w:r>
      <w:r>
        <w:t xml:space="preserve"> </w:t>
      </w:r>
      <w:r>
        <w:t xml:space="preserve">segment is; those records are flagged in the released quality-control table and should be</w:t>
      </w:r>
      <w:r>
        <w:t xml:space="preserve"> </w:t>
      </w:r>
      <w:r>
        <w:t xml:space="preserve">filtered before any measurement depending on the sacral endplate.</w:t>
      </w:r>
    </w:p>
    <w:p>
      <w:pPr>
        <w:pStyle w:val="BodyText"/>
      </w:pPr>
      <w:r>
        <w:rPr>
          <w:i/>
          <w:iCs/>
        </w:rPr>
        <w:t xml:space="preserve">Structures are not universally present.</w:t>
      </w:r>
      <w:r>
        <w:t xml:space="preserve"> </w:t>
      </w:r>
      <w:r>
        <w:t xml:space="preserve">The same census shows the release is not</w:t>
      </w:r>
      <w:r>
        <w:t xml:space="preserve"> </w:t>
      </w:r>
      <w:r>
        <w:t xml:space="preserve">uniformly complete. Sacrum, hips and femora are present in all 802 records. One record</w:t>
      </w:r>
      <w:r>
        <w:t xml:space="preserve"> </w:t>
      </w:r>
      <w:r>
        <w:t xml:space="preserve">carries no S1, one lacks T12, and nine lack an L5 identifier — in every case because the</w:t>
      </w:r>
      <w:r>
        <w:t xml:space="preserve"> </w:t>
      </w:r>
      <w:r>
        <w:t xml:space="preserve">structure lies outside the field of view or, for L5, because the lowest lumbar segment is</w:t>
      </w:r>
      <w:r>
        <w:t xml:space="preserve"> </w:t>
      </w:r>
      <w:r>
        <w:t xml:space="preserve">labeled L6 or incorporated into the sacrum. Users filtering on the presence of the caudal anchor should filter explicitly rather</w:t>
      </w:r>
      <w:r>
        <w:t xml:space="preserve"> </w:t>
      </w:r>
      <w:r>
        <w:t xml:space="preserve">than assume it.</w:t>
      </w:r>
    </w:p>
    <w:bookmarkEnd w:id="49"/>
    <w:bookmarkEnd w:id="50"/>
    <w:bookmarkStart w:id="51" w:name="discussion"/>
    <w:p>
      <w:pPr>
        <w:pStyle w:val="Heading1"/>
      </w:pPr>
      <w:r>
        <w:t xml:space="preserve">Discussion</w:t>
      </w:r>
    </w:p>
    <w:p>
      <w:pPr>
        <w:pStyle w:val="FirstParagraph"/>
      </w:pPr>
      <w:r>
        <w:rPr>
          <w:i/>
          <w:iCs/>
        </w:rPr>
        <w:t xml:space="preserve">Comparison with related material.</w:t>
      </w:r>
      <w:r>
        <w:t xml:space="preserve"> </w:t>
      </w:r>
      <w:r>
        <w:t xml:space="preserve">Against the collections in</w:t>
      </w:r>
      <w:r>
        <w:t xml:space="preserve"> </w:t>
      </w:r>
      <w:r>
        <w:t xml:space="preserve">Fig. </w:t>
      </w:r>
      <w:hyperlink w:anchor="fig:priorart">
        <w:r>
          <w:rPr>
            <w:rStyle w:val="Hyperlink"/>
          </w:rPr>
          <w:t xml:space="preserve">1</w:t>
        </w:r>
      </w:hyperlink>
      <w:r>
        <w:t xml:space="preserve">, the contribution is the crosswalk placing spine and pelvis on the</w:t>
      </w:r>
      <w:r>
        <w:t xml:space="preserve"> </w:t>
      </w:r>
      <w:r>
        <w:t xml:space="preserve">same series, together with classes for the anatomy an enumeration anomaly actually produces:</w:t>
      </w:r>
      <w:r>
        <w:t xml:space="preserve"> </w:t>
      </w:r>
      <w:r>
        <w:t xml:space="preserve">where another scheme must record a sixth lumbar vertebra or a lumbar-borne rib as something</w:t>
      </w:r>
      <w:r>
        <w:t xml:space="preserve"> </w:t>
      </w:r>
      <w:r>
        <w:t xml:space="preserve">else, this release records it as itself.</w:t>
      </w:r>
    </w:p>
    <w:bookmarkEnd w:id="51"/>
    <w:bookmarkStart w:id="52" w:name="conclusion"/>
    <w:p>
      <w:pPr>
        <w:pStyle w:val="Heading1"/>
      </w:pPr>
      <w:r>
        <w:t xml:space="preserve">Conclusion</w:t>
      </w:r>
    </w:p>
    <w:p>
      <w:pPr>
        <w:pStyle w:val="FirstParagraph"/>
      </w:pPr>
      <w:r>
        <w:t xml:space="preserve">CTSpinoPelvic1K places spine, pelvis, per-level ribs and femora on one coordinate frame in</w:t>
      </w:r>
      <w:r>
        <w:t xml:space="preserve"> </w:t>
      </w:r>
      <w:r>
        <w:t xml:space="preserve">802 records, and gives the anatomy that makes lumbar numbering ambiguous a class of its own</w:t>
      </w:r>
      <w:r>
        <w:t xml:space="preserve"> </w:t>
      </w:r>
      <w:r>
        <w:t xml:space="preserve">rather than recording it as something it is not. Because both counting anchors are explicit,</w:t>
      </w:r>
      <w:r>
        <w:t xml:space="preserve"> </w:t>
      </w:r>
      <w:r>
        <w:t xml:space="preserve">a level can be identified from a field of view that cannot support the conventional count</w:t>
      </w:r>
      <w:r>
        <w:t xml:space="preserve"> </w:t>
      </w:r>
      <w:r>
        <w:t xml:space="preserve">downward from C2 — which is every record here. The release is archived under a persistent</w:t>
      </w:r>
      <w:r>
        <w:t xml:space="preserve"> </w:t>
      </w:r>
      <w:r>
        <w:t xml:space="preserve">identifier, ships what is needed to verify it, and states per structure how strong each</w:t>
      </w:r>
      <w:r>
        <w:t xml:space="preserve"> </w:t>
      </w:r>
      <w:r>
        <w:t xml:space="preserve">label is.</w:t>
      </w:r>
    </w:p>
    <w:bookmarkEnd w:id="52"/>
    <w:bookmarkStart w:id="53" w:name="data-availability"/>
    <w:p>
      <w:pPr>
        <w:pStyle w:val="Heading1"/>
      </w:pPr>
      <w:r>
        <w:t xml:space="preserve">Data Availability</w:t>
      </w:r>
    </w:p>
    <w:p>
      <w:pPr>
        <w:pStyle w:val="FirstParagraph"/>
      </w:pPr>
      <w:r>
        <w:t xml:space="preserve">The release described here is , permanently archived at</w:t>
      </w:r>
      <w:r>
        <w:t xml:space="preserve"> </w:t>
      </w:r>
      <w:hyperlink r:id="rId9">
        <w:r>
          <w:rPr>
            <w:rStyle w:val="Hyperlink"/>
          </w:rPr>
          <w:t xml:space="preserve">https://doi.org/\datasetversiondoi</w:t>
        </w:r>
      </w:hyperlink>
      <w:r>
        <w:t xml:space="preserve">. The dataset as a whole, across versions, is cited</w:t>
      </w:r>
      <w:r>
        <w:t xml:space="preserve"> </w:t>
      </w:r>
      <w:r>
        <w:t xml:space="preserve">as</w:t>
      </w:r>
      <w:r>
        <w:t xml:space="preserve"> </w:t>
      </w:r>
      <w:hyperlink r:id="rId10">
        <w:r>
          <w:rPr>
            <w:rStyle w:val="Hyperlink"/>
          </w:rPr>
          <w:t xml:space="preserve">https://doi.org/\datasetdoi</w:t>
        </w:r>
      </w:hyperlink>
      <w:r>
        <w:t xml:space="preserve">, which always resolves to the current version.</w:t>
      </w:r>
      <w:r>
        <w:t xml:space="preserve"> </w:t>
      </w:r>
      <w:r>
        <w:t xml:space="preserve">The archive carries the reference loader, the label-scheme definition and the</w:t>
      </w:r>
      <w:r>
        <w:t xml:space="preserve"> </w:t>
      </w:r>
      <w:r>
        <w:t xml:space="preserve">quality-control tables, and the analysis code is distributed with it under an open-source</w:t>
      </w:r>
      <w:r>
        <w:t xml:space="preserve"> </w:t>
      </w:r>
      <w:r>
        <w:t xml:space="preserve">licence. The repository URL is omitted here because it identifies the authors; it is given</w:t>
      </w:r>
      <w:r>
        <w:t xml:space="preserve"> </w:t>
      </w:r>
      <w:r>
        <w:t xml:space="preserve">on the title page and will be restored to this section for the camera-ready version.</w:t>
      </w:r>
    </w:p>
    <w:bookmarkEnd w:id="53"/>
    <w:bookmarkStart w:id="54" w:name="conflict-of-interest"/>
    <w:p>
      <w:pPr>
        <w:pStyle w:val="Heading1"/>
      </w:pPr>
      <w:r>
        <w:t xml:space="preserve">Conflict of Interest</w:t>
      </w:r>
    </w:p>
    <w:p>
      <w:pPr>
        <w:pStyle w:val="FirstParagraph"/>
      </w:pPr>
      <w:r>
        <w:t xml:space="preserve">The authors have no relevant conflicts of interest to disclose.</w:t>
      </w:r>
    </w:p>
    <w:bookmarkEnd w:id="54"/>
    <w:bookmarkStart w:id="55" w:name="ethics"/>
    <w:p>
      <w:pPr>
        <w:pStyle w:val="Heading1"/>
      </w:pPr>
      <w:r>
        <w:t xml:space="preserve">Ethics</w:t>
      </w:r>
    </w:p>
    <w:p>
      <w:pPr>
        <w:pStyle w:val="FirstParagraph"/>
      </w:pPr>
      <w:r>
        <w:t xml:space="preserve">This work uses publicly available, de-identified imaging from The Cancer Imaging</w:t>
      </w:r>
      <w:r>
        <w:t xml:space="preserve"> </w:t>
      </w:r>
      <w:r>
        <w:t xml:space="preserve">Archive </w:t>
      </w:r>
      <w:r>
        <w:t xml:space="preserve"> </w:t>
      </w:r>
      <w:r>
        <w:t xml:space="preserve">and annotations derived from it. The investigators obtain no</w:t>
      </w:r>
      <w:r>
        <w:t xml:space="preserve"> </w:t>
      </w:r>
      <w:r>
        <w:t xml:space="preserve">identifiable private information and have no interaction with the individuals imaged, so the</w:t>
      </w:r>
      <w:r>
        <w:t xml:space="preserve"> </w:t>
      </w:r>
      <w:r>
        <w:t xml:space="preserve">activity does not meet the definition of human participant research under 45 CFR 46.102. A</w:t>
      </w:r>
      <w:r>
        <w:t xml:space="preserve"> </w:t>
      </w:r>
      <w:r>
        <w:t xml:space="preserve">determination to that effect has been submitted to the authors’ institutional</w:t>
      </w:r>
      <w:r>
        <w:t xml:space="preserve"> </w:t>
      </w:r>
      <w:r>
        <w:t xml:space="preserve">Review Board.</w:t>
      </w:r>
    </w:p>
    <w:p>
      <w:pPr>
        <w:pStyle w:val="BodyText"/>
      </w:pPr>
      <w:r>
        <w:t xml:space="preserve">20</w:t>
      </w:r>
    </w:p>
    <w:p>
      <w:pPr>
        <w:pStyle w:val="BodyText"/>
      </w:pPr>
      <w:r>
        <w:t xml:space="preserve">G. P. Konin and D. M. Walz,</w:t>
      </w:r>
      <w:r>
        <w:t xml:space="preserve"> </w:t>
      </w:r>
      <w:r>
        <w:t xml:space="preserve">Lumbosacral transitional vertebrae: classification, imaging findings, and clinical relevance,</w:t>
      </w:r>
      <w:r>
        <w:t xml:space="preserve"> </w:t>
      </w:r>
      <w:r>
        <w:t xml:space="preserve">AJNR Am. J. Neuroradiol.</w:t>
      </w:r>
      <w:r>
        <w:t xml:space="preserve"> </w:t>
      </w:r>
      <w:r>
        <w:rPr>
          <w:b/>
          <w:bCs/>
        </w:rPr>
        <w:t xml:space="preserve">31</w:t>
      </w:r>
      <w:r>
        <w:t xml:space="preserve">, 1778–1786 (2010),</w:t>
      </w:r>
      <w:r>
        <w:t xml:space="preserve"> </w:t>
      </w:r>
      <w:r>
        <w:t xml:space="preserve">doi:10.3174/ajnr.A2036.</w:t>
      </w:r>
    </w:p>
    <w:p>
      <w:pPr>
        <w:pStyle w:val="BodyText"/>
      </w:pPr>
      <w:r>
        <w:t xml:space="preserve">Y. Deng et al.,</w:t>
      </w:r>
      <w:r>
        <w:t xml:space="preserve"> </w:t>
      </w:r>
      <w:r>
        <w:t xml:space="preserve">: a large-scale dataset for spinal vertebrae segmentation in computed tomography,</w:t>
      </w:r>
      <w:r>
        <w:t xml:space="preserve"> </w:t>
      </w:r>
      <w:r>
        <w:t xml:space="preserve">Mach. Learn. Biomed. Imaging</w:t>
      </w:r>
      <w:r>
        <w:t xml:space="preserve"> </w:t>
      </w:r>
      <w:r>
        <w:rPr>
          <w:b/>
          <w:bCs/>
        </w:rPr>
        <w:t xml:space="preserve">3</w:t>
      </w:r>
      <w:r>
        <w:t xml:space="preserve">, 824–832 (2025),</w:t>
      </w:r>
      <w:r>
        <w:t xml:space="preserve"> </w:t>
      </w:r>
      <w:r>
        <w:t xml:space="preserve">doi:10.59275/j.melba.2025-gf84.</w:t>
      </w:r>
    </w:p>
    <w:p>
      <w:pPr>
        <w:pStyle w:val="BodyText"/>
      </w:pPr>
      <w:r>
        <w:t xml:space="preserve">A. Sekuboyina et al.,</w:t>
      </w:r>
      <w:r>
        <w:t xml:space="preserve"> </w:t>
      </w:r>
      <w:r>
        <w:t xml:space="preserve">: a vertebrae labelling and segmentation benchmark for multi-detector</w:t>
      </w:r>
      <w:r>
        <w:t xml:space="preserve"> </w:t>
      </w:r>
      <w:r>
        <w:t xml:space="preserve">CT</w:t>
      </w:r>
      <w:r>
        <w:t xml:space="preserve"> </w:t>
      </w:r>
      <w:r>
        <w:t xml:space="preserve">images,</w:t>
      </w:r>
      <w:r>
        <w:t xml:space="preserve"> </w:t>
      </w:r>
      <w:r>
        <w:t xml:space="preserve">Med. Image Anal.</w:t>
      </w:r>
      <w:r>
        <w:t xml:space="preserve"> </w:t>
      </w:r>
      <w:r>
        <w:rPr>
          <w:b/>
          <w:bCs/>
        </w:rPr>
        <w:t xml:space="preserve">73</w:t>
      </w:r>
      <w:r>
        <w:t xml:space="preserve">, 102166 (2021),</w:t>
      </w:r>
      <w:r>
        <w:t xml:space="preserve"> </w:t>
      </w:r>
      <w:r>
        <w:t xml:space="preserve">doi:10.1016/j.media.2021.102166.</w:t>
      </w:r>
    </w:p>
    <w:p>
      <w:pPr>
        <w:pStyle w:val="BodyText"/>
      </w:pPr>
      <w:r>
        <w:t xml:space="preserve">J. Wasserthal et al.,</w:t>
      </w:r>
      <w:r>
        <w:t xml:space="preserve"> </w:t>
      </w:r>
      <w:r>
        <w:t xml:space="preserve">: robust segmentation of 104 anatomic structures in</w:t>
      </w:r>
      <w:r>
        <w:t xml:space="preserve"> </w:t>
      </w:r>
      <w:r>
        <w:t xml:space="preserve">CT</w:t>
      </w:r>
      <w:r>
        <w:t xml:space="preserve"> </w:t>
      </w:r>
      <w:r>
        <w:t xml:space="preserve">images,</w:t>
      </w:r>
      <w:r>
        <w:t xml:space="preserve"> </w:t>
      </w:r>
      <w:r>
        <w:t xml:space="preserve">Radiol. Artif. Intell.</w:t>
      </w:r>
      <w:r>
        <w:t xml:space="preserve"> </w:t>
      </w:r>
      <w:r>
        <w:rPr>
          <w:b/>
          <w:bCs/>
        </w:rPr>
        <w:t xml:space="preserve">5</w:t>
      </w:r>
      <w:r>
        <w:t xml:space="preserve">, e230024 (2023),</w:t>
      </w:r>
      <w:r>
        <w:t xml:space="preserve"> </w:t>
      </w:r>
      <w:r>
        <w:t xml:space="preserve">doi:10.1148/ryai.230024.</w:t>
      </w:r>
    </w:p>
    <w:p>
      <w:pPr>
        <w:pStyle w:val="BodyText"/>
      </w:pPr>
      <w:r>
        <w:t xml:space="preserve">H. Liebl et al.,</w:t>
      </w:r>
      <w:r>
        <w:t xml:space="preserve"> </w:t>
      </w:r>
      <w:r>
        <w:t xml:space="preserve">A computed tomography vertebral segmentation dataset with anatomical variations and multi-vendor scanner data,</w:t>
      </w:r>
      <w:r>
        <w:t xml:space="preserve"> </w:t>
      </w:r>
      <w:r>
        <w:t xml:space="preserve">Sci. Data</w:t>
      </w:r>
      <w:r>
        <w:t xml:space="preserve"> </w:t>
      </w:r>
      <w:r>
        <w:rPr>
          <w:b/>
          <w:bCs/>
        </w:rPr>
        <w:t xml:space="preserve">8</w:t>
      </w:r>
      <w:r>
        <w:t xml:space="preserve">, 284 (2021),</w:t>
      </w:r>
      <w:r>
        <w:t xml:space="preserve"> </w:t>
      </w:r>
      <w:r>
        <w:t xml:space="preserve">doi:10.1038/s41597-021-01060-0.</w:t>
      </w:r>
    </w:p>
    <w:p>
      <w:pPr>
        <w:pStyle w:val="BodyText"/>
      </w:pPr>
      <w:r>
        <w:t xml:space="preserve">P. Liu et al.,</w:t>
      </w:r>
      <w:r>
        <w:t xml:space="preserve"> </w:t>
      </w:r>
      <w:r>
        <w:t xml:space="preserve">Deep learning to segment pelvic bones: large-scale</w:t>
      </w:r>
      <w:r>
        <w:t xml:space="preserve"> </w:t>
      </w:r>
      <w:r>
        <w:t xml:space="preserve">CT</w:t>
      </w:r>
      <w:r>
        <w:t xml:space="preserve"> </w:t>
      </w:r>
      <w:r>
        <w:t xml:space="preserve">datasets and baseline models,</w:t>
      </w:r>
      <w:r>
        <w:t xml:space="preserve"> </w:t>
      </w:r>
      <w:r>
        <w:t xml:space="preserve">Int. J. Comput. Assist. Radiol. Surg.</w:t>
      </w:r>
      <w:r>
        <w:t xml:space="preserve"> </w:t>
      </w:r>
      <w:r>
        <w:rPr>
          <w:b/>
          <w:bCs/>
        </w:rPr>
        <w:t xml:space="preserve">16</w:t>
      </w:r>
      <w:r>
        <w:t xml:space="preserve">, 749–756 (2021),</w:t>
      </w:r>
      <w:r>
        <w:t xml:space="preserve"> </w:t>
      </w:r>
      <w:r>
        <w:t xml:space="preserve">doi:10.1007/s11548-021-02363-8.</w:t>
      </w:r>
    </w:p>
    <w:p>
      <w:pPr>
        <w:pStyle w:val="BodyText"/>
      </w:pPr>
      <w:r>
        <w:t xml:space="preserve">L. Jin et al.,</w:t>
      </w:r>
      <w:r>
        <w:t xml:space="preserve"> </w:t>
      </w:r>
      <w:r>
        <w:t xml:space="preserve">v2: a large-scale benchmark for rib labeling and anatomical centerline extraction,</w:t>
      </w:r>
      <w:r>
        <w:t xml:space="preserve"> </w:t>
      </w:r>
      <w:r>
        <w:t xml:space="preserve">IEEE Trans. Med. Imaging</w:t>
      </w:r>
      <w:r>
        <w:t xml:space="preserve"> </w:t>
      </w:r>
      <w:r>
        <w:rPr>
          <w:b/>
          <w:bCs/>
        </w:rPr>
        <w:t xml:space="preserve">43</w:t>
      </w:r>
      <w:r>
        <w:t xml:space="preserve">, 570–581 (2024),</w:t>
      </w:r>
      <w:r>
        <w:t xml:space="preserve"> </w:t>
      </w:r>
      <w:r>
        <w:t xml:space="preserve">doi:10.1109/TMI.2023.3313627.</w:t>
      </w:r>
    </w:p>
    <w:p>
      <w:pPr>
        <w:pStyle w:val="BodyText"/>
      </w:pPr>
      <w:r>
        <w:t xml:space="preserve">K. Smith et al.,</w:t>
      </w:r>
      <w:r>
        <w:t xml:space="preserve"> </w:t>
      </w:r>
      <w:r>
        <w:t xml:space="preserve">Data from</w:t>
      </w:r>
      <w:r>
        <w:t xml:space="preserve"> </w:t>
      </w:r>
      <w:r>
        <w:t xml:space="preserve">CT COLONOGRAPHY</w:t>
      </w:r>
      <w:r>
        <w:t xml:space="preserve">,</w:t>
      </w:r>
      <w:r>
        <w:t xml:space="preserve"> </w:t>
      </w:r>
      <w:r>
        <w:t xml:space="preserve">The Cancer Imaging Archive, 2015,</w:t>
      </w:r>
      <w:r>
        <w:t xml:space="preserve"> </w:t>
      </w:r>
      <w:r>
        <w:t xml:space="preserve">doi:10.7937/K9/TCIA.2015.NWTESAY1.</w:t>
      </w:r>
    </w:p>
    <w:p>
      <w:pPr>
        <w:pStyle w:val="BodyText"/>
      </w:pPr>
      <w:r>
        <w:t xml:space="preserve">K. Clark et al.,</w:t>
      </w:r>
      <w:r>
        <w:t xml:space="preserve"> </w:t>
      </w:r>
      <w:r>
        <w:t xml:space="preserve">The</w:t>
      </w:r>
      <w:r>
        <w:t xml:space="preserve"> </w:t>
      </w:r>
      <w:r>
        <w:t xml:space="preserve">Cancer Imaging Archive</w:t>
      </w:r>
      <w:r>
        <w:t xml:space="preserve"> </w:t>
      </w:r>
      <w:r>
        <w:t xml:space="preserve">(</w:t>
      </w:r>
      <w:r>
        <w:t xml:space="preserve">TCIA</w:t>
      </w:r>
      <w:r>
        <w:t xml:space="preserve">): maintaining and operating a public information repository,</w:t>
      </w:r>
      <w:r>
        <w:t xml:space="preserve"> </w:t>
      </w:r>
      <w:r>
        <w:t xml:space="preserve">J. Digit. Imaging</w:t>
      </w:r>
      <w:r>
        <w:t xml:space="preserve"> </w:t>
      </w:r>
      <w:r>
        <w:rPr>
          <w:b/>
          <w:bCs/>
        </w:rPr>
        <w:t xml:space="preserve">26</w:t>
      </w:r>
      <w:r>
        <w:t xml:space="preserve">, 1045–1057 (2013),</w:t>
      </w:r>
      <w:r>
        <w:t xml:space="preserve"> </w:t>
      </w:r>
      <w:r>
        <w:t xml:space="preserve">doi:10.1007/s10278-013-9622-7.</w:t>
      </w:r>
    </w:p>
    <w:p>
      <w:pPr>
        <w:pStyle w:val="BodyText"/>
      </w:pPr>
      <w:r>
        <w:t xml:space="preserve">H. M</w:t>
      </w:r>
      <w:r>
        <w:t xml:space="preserve">ö</w:t>
      </w:r>
      <w:r>
        <w:t xml:space="preserve">ller et al.,</w:t>
      </w:r>
      <w:r>
        <w:t xml:space="preserve"> </w:t>
      </w:r>
      <w:r>
        <w:t xml:space="preserve">Automated thoracolumbar stump rib detection and analysis in a large</w:t>
      </w:r>
      <w:r>
        <w:t xml:space="preserve"> </w:t>
      </w:r>
      <w:r>
        <w:t xml:space="preserve">CT</w:t>
      </w:r>
      <w:r>
        <w:t xml:space="preserve"> </w:t>
      </w:r>
      <w:r>
        <w:t xml:space="preserve">cohort, 2025,</w:t>
      </w:r>
      <w:r>
        <w:t xml:space="preserve"> </w:t>
      </w:r>
      <w:r>
        <w:t xml:space="preserve">arXiv:2505.05004. doi:10.48550/arXiv.2505.05004.</w:t>
      </w:r>
    </w:p>
    <w:p>
      <w:pPr>
        <w:pStyle w:val="BodyText"/>
      </w:pPr>
      <w:r>
        <w:t xml:space="preserve">A. Schehr, J. Kim, and G. Schwing,</w:t>
      </w:r>
      <w:r>
        <w:t xml:space="preserve"> </w:t>
      </w:r>
      <w:r>
        <w:t xml:space="preserve">: an open-source framework for medical student engagement in computational spine imaging research,</w:t>
      </w:r>
      <w:r>
        <w:t xml:space="preserve"> </w:t>
      </w:r>
      <w:r>
        <w:t xml:space="preserve">Cureus (2026),</w:t>
      </w:r>
      <w:r>
        <w:t xml:space="preserve"> </w:t>
      </w:r>
      <w:r>
        <w:t xml:space="preserve">Published 14 July 2026. doi:10.7759/cureus.112661.</w:t>
      </w:r>
    </w:p>
    <w:p>
      <w:pPr>
        <w:pStyle w:val="BodyText"/>
      </w:pPr>
      <w:r>
        <w:t xml:space="preserve">F. Isensee, P. F. Jaeger, S. A. A. Kohl, J. Petersen, and K. H. Maier-Hein,</w:t>
      </w:r>
      <w:r>
        <w:t xml:space="preserve"> </w:t>
      </w:r>
      <w:r>
        <w:t xml:space="preserve">: a self-configuring method for deep learning-based biomedical image segmentation,</w:t>
      </w:r>
      <w:r>
        <w:t xml:space="preserve"> </w:t>
      </w:r>
      <w:r>
        <w:t xml:space="preserve">Nat. Methods</w:t>
      </w:r>
      <w:r>
        <w:t xml:space="preserve"> </w:t>
      </w:r>
      <w:r>
        <w:rPr>
          <w:b/>
          <w:bCs/>
        </w:rPr>
        <w:t xml:space="preserve">18</w:t>
      </w:r>
      <w:r>
        <w:t xml:space="preserve">, 203–211 (2021),</w:t>
      </w:r>
      <w:r>
        <w:t xml:space="preserve"> </w:t>
      </w:r>
      <w:r>
        <w:t xml:space="preserve">doi:10.1038/s41592-020-01008-z.</w:t>
      </w:r>
    </w:p>
    <w:p>
      <w:pPr>
        <w:pStyle w:val="BodyText"/>
      </w:pPr>
      <w:r>
        <w:t xml:space="preserve">R. Vialle, N. Levassor, L. Rillardon, A. Templier, W. Skalli, and P. Guigui,</w:t>
      </w:r>
      <w:r>
        <w:t xml:space="preserve"> </w:t>
      </w:r>
      <w:r>
        <w:t xml:space="preserve">Radiographic analysis of the sagittal alignment and balance of the spine in asymptomatic subjects,</w:t>
      </w:r>
      <w:r>
        <w:t xml:space="preserve"> </w:t>
      </w:r>
      <w:r>
        <w:t xml:space="preserve">J. Bone Joint Surg. Am.</w:t>
      </w:r>
      <w:r>
        <w:t xml:space="preserve"> </w:t>
      </w:r>
      <w:r>
        <w:rPr>
          <w:b/>
          <w:bCs/>
        </w:rPr>
        <w:t xml:space="preserve">87</w:t>
      </w:r>
      <w:r>
        <w:t xml:space="preserve">, 260–267 (2005),</w:t>
      </w:r>
      <w:r>
        <w:t xml:space="preserve"> </w:t>
      </w:r>
      <w:r>
        <w:t xml:space="preserve">doi:10.2106/JBJS.D.02043.</w:t>
      </w:r>
    </w:p>
    <w:p>
      <w:pPr>
        <w:pStyle w:val="BodyText"/>
      </w:pPr>
      <w:r>
        <w:t xml:space="preserve">A. E. Castellvi, L. A. Goldstein, and D. P. K. Chan,</w:t>
      </w:r>
      <w:r>
        <w:t xml:space="preserve"> </w:t>
      </w:r>
      <w:r>
        <w:t xml:space="preserve">Lumbosacral transitional vertebrae and their relationship with lumbar extradural defects,</w:t>
      </w:r>
      <w:r>
        <w:t xml:space="preserve"> </w:t>
      </w:r>
      <w:r>
        <w:t xml:space="preserve">Spine (Phila. Pa. 1976)</w:t>
      </w:r>
      <w:r>
        <w:t xml:space="preserve"> </w:t>
      </w:r>
      <w:r>
        <w:rPr>
          <w:b/>
          <w:bCs/>
        </w:rPr>
        <w:t xml:space="preserve">9</w:t>
      </w:r>
      <w:r>
        <w:t xml:space="preserve">, 493–495 (1984),</w:t>
      </w:r>
      <w:r>
        <w:t xml:space="preserve"> </w:t>
      </w:r>
      <w:r>
        <w:t xml:space="preserve">doi:10.1097/00007632-198407000-00014.</w:t>
      </w:r>
    </w:p>
    <w:p>
      <w:pPr>
        <w:pStyle w:val="BodyText"/>
      </w:pPr>
      <w:r>
        <w:t xml:space="preserve">P. J. Pickhardt, B. D. Pooler, T. Lauder, A. M. del Rio, R. J. Bruce, and N. Binkley,</w:t>
      </w:r>
      <w:r>
        <w:t xml:space="preserve"> </w:t>
      </w:r>
      <w:r>
        <w:t xml:space="preserve">Opportunistic screening for osteoporosis using abdominal computed tomography scans obtained for other indications,</w:t>
      </w:r>
      <w:r>
        <w:t xml:space="preserve"> </w:t>
      </w:r>
      <w:r>
        <w:t xml:space="preserve">Ann. Intern. Med.</w:t>
      </w:r>
      <w:r>
        <w:t xml:space="preserve"> </w:t>
      </w:r>
      <w:r>
        <w:rPr>
          <w:b/>
          <w:bCs/>
        </w:rPr>
        <w:t xml:space="preserve">158</w:t>
      </w:r>
      <w:r>
        <w:t xml:space="preserve">, 588–595 (2013),</w:t>
      </w:r>
      <w:r>
        <w:t xml:space="preserve"> </w:t>
      </w:r>
      <w:r>
        <w:t xml:space="preserve">doi:10.7326/0003-4819-158-8-201304160-00003.</w:t>
      </w:r>
    </w:p>
    <w:p>
      <w:pPr>
        <w:pStyle w:val="BodyText"/>
      </w:pPr>
      <w:r>
        <w:t xml:space="preserve">N. E. Epstein,</w:t>
      </w:r>
      <w:r>
        <w:t xml:space="preserve"> </w:t>
      </w:r>
      <w:r>
        <w:t xml:space="preserve">A perspective on wrong level, wrong side, and wrong site spine surgery,</w:t>
      </w:r>
      <w:r>
        <w:t xml:space="preserve"> </w:t>
      </w:r>
      <w:r>
        <w:t xml:space="preserve">Surg. Neurol. Int.</w:t>
      </w:r>
      <w:r>
        <w:t xml:space="preserve"> </w:t>
      </w:r>
      <w:r>
        <w:rPr>
          <w:b/>
          <w:bCs/>
        </w:rPr>
        <w:t xml:space="preserve">12</w:t>
      </w:r>
      <w:r>
        <w:t xml:space="preserve">, 286 (2021),</w:t>
      </w:r>
      <w:r>
        <w:t xml:space="preserve"> </w:t>
      </w:r>
      <w:r>
        <w:t xml:space="preserve">doi:10.25259/SNI_402_2021.</w:t>
      </w:r>
    </w:p>
    <w:p>
      <w:pPr>
        <w:pStyle w:val="BodyText"/>
      </w:pPr>
      <w:r>
        <w:t xml:space="preserve">E. C. Benzel,</w:t>
      </w:r>
      <w:r>
        <w:t xml:space="preserve"> </w:t>
      </w:r>
      <w:r>
        <w:t xml:space="preserve">,</w:t>
      </w:r>
      <w:r>
        <w:t xml:space="preserve"> </w:t>
      </w:r>
      <w:r>
        <w:t xml:space="preserve">Thieme, New York, 3rd edition, 2015.</w:t>
      </w:r>
    </w:p>
    <w:p>
      <w:pPr>
        <w:pStyle w:val="BodyText"/>
      </w:pPr>
      <w:r>
        <w:t xml:space="preserve">E. Beaulieu et al.,</w:t>
      </w:r>
      <w:r>
        <w:t xml:space="preserve"> </w:t>
      </w:r>
      <w:r>
        <w:t xml:space="preserve">A review of finite element analysis in spine surgery decision-making,</w:t>
      </w:r>
      <w:r>
        <w:t xml:space="preserve"> </w:t>
      </w:r>
      <w:r>
        <w:t xml:space="preserve">J. Clin. Med.</w:t>
      </w:r>
      <w:r>
        <w:t xml:space="preserve"> </w:t>
      </w:r>
      <w:r>
        <w:rPr>
          <w:b/>
          <w:bCs/>
        </w:rPr>
        <w:t xml:space="preserve">15</w:t>
      </w:r>
      <w:r>
        <w:t xml:space="preserve">, 2584 (2026),</w:t>
      </w:r>
      <w:r>
        <w:t xml:space="preserve"> </w:t>
      </w:r>
      <w:r>
        <w:t xml:space="preserve">doi:10.3390/jcm15072584.</w:t>
      </w:r>
    </w:p>
    <w:bookmarkEnd w:id="55"/>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21" Target="media/rId21.pdf" /><Relationship Type="http://schemas.openxmlformats.org/officeDocument/2006/relationships/image" Id="rId36" Target="media/rId36.pdf" /><Relationship Type="http://schemas.openxmlformats.org/officeDocument/2006/relationships/image" Id="rId45" Target="media/rId45.pdf" /><Relationship Type="http://schemas.openxmlformats.org/officeDocument/2006/relationships/image" Id="rId11" Target="media/rId11.pdf" /><Relationship Type="http://schemas.openxmlformats.org/officeDocument/2006/relationships/image" Id="rId40" Target="media/rId40.pdf" /><Relationship Type="http://schemas.openxmlformats.org/officeDocument/2006/relationships/hyperlink" Id="rId10" Target="https://doi.org/\datasetdoi" TargetMode="External" /><Relationship Type="http://schemas.openxmlformats.org/officeDocument/2006/relationships/hyperlink" Id="rId9" Target="https://doi.org/\datasetversiondoi" TargetMode="External" /></Relationships>
</file>

<file path=word/_rels/footnotes.xml.rels><?xml version="1.0" encoding="UTF-8"?><Relationships xmlns="http://schemas.openxmlformats.org/package/2006/relationships"><Relationship Type="http://schemas.openxmlformats.org/officeDocument/2006/relationships/hyperlink" Id="rId10" Target="https://doi.org/\datasetdoi" TargetMode="External" /><Relationship Type="http://schemas.openxmlformats.org/officeDocument/2006/relationships/hyperlink" Id="rId9" Target="https://doi.org/\datasetversiondoi"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CTSpinoPelvic1K: spine, pelvis, ribs and femora in one coordinate frame, annotated for lumbosacral transitional anatomy</dc:title>
  <dc:creator>Gregory Schwing, MD, PhD; Ashley Schehr, BS; Annika Tekumulla, BS; Margret Khoushi, BS; Ryan Christian, BS; Dane Hubers, BS; Faris Mahjoub, BS; Hassan Saad, BS; Mia Sooch, BA; Sathya Siddapureddy, BS; Michael McLellan, BS; Jerick Kim, BS; Miraziz Ismoilov, MD; Nizar Alnabahneh, MD</dc:creator>
  <cp:keywords/>
  <dcterms:created xsi:type="dcterms:W3CDTF">2026-09-02T18:25:12Z</dcterms:created>
  <dcterms:modified xsi:type="dcterms:W3CDTF">2026-09-02T18:25:12Z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Purpose: Lumbar levels cannot be numbered reliably when a lumbosacral transitional vertebra (LSTV) is present. Sacralization and lumbarization are different developmental events and leave different traces, but those traces are not decisive in every case, and the count that would arbitrate is taken downward from C2 — the one landmark present in every spine and never duplicated . A field of view that begins in the thorax contains no such landmark, so the name rests on morphology alone exactly where morphology is least certain. Public collections either omit the pelvis (CTSpine1K , VerSe ) or omit the classes a transitional vertebra requires: TotalSegmentator , the largest whole-body collection, provides no sixth lumbar vertebra and no class for a rib arising from a lumbar level, and VerSe excludes vertebrae fused to the sacrum by design . CTSpinoPelvic1K provides 802 CT records carrying radiologist-sourced spine and pelvic annotation on one coordinate frame, with per-level ribs and femora. Four classes exist so that a variant need not be forced into an ordinary level: a sixth lumbar vertebra, a thirteenth thoracic vertebra, the first sacral segment held separate from the sacrum, and left and right lumbar ribs. The primary use is the lumbosacral interface — sacral morphology measured against the lumbar spine, for pelvic fixation and lumbar surgical planning — and the transitional labeling is what makes that interface trustworthy, since a trajectory cannot be planned across a junction whose segments cannot be named. Because every record follows one screening protocol, between-scan variation reflects anatomy rather than acquisition, which suits the collection to learning morphology directly.Acquisition and Validation Methods: Records were built by patient-level crosswalk of three public collections — TCIA CT COLONOGRAPHY imaging, CTSpine1K  vertebral labels, and CTPelvic1K  pelvic labels — with labels placed on the acquisition carrying the highest bone coverage and unified under a VerSe-native scheme. Validation is threefold: per-case geometric invariants (802/802 pass); rib–vertebra incidence across 5,749 evaluable ribs (2 residual offsets, 0.035%); and agreement of derived spinopelvic measures with published reference values.Data Format and Usage Notes: Gzipped NIfTI image/label pairs sharing an identical affine, canonicalized to PIR, with frozen patient-grouped LSTV-stratified five-fold cross-validation splits and a reference loader. Archived at .Potential Applications: Segmentation and level-numbering benchmarks, anatomical variant studies, surgical planning, and opportunistic screening research. Limitations: thoracic ground truth is field-of-view limited; postural angles are supine; the soft-tissue identifiers are declared but unpopulated; the splits are cross-validation folds and include no held-out test set; the rib layer is a reviewed pseudolabel whose review was triaged by an automated rule rather than exhaustive; and the Castellvi grades were assigned by a radiology resident physician.</vt:lpwstr>
  </property>
</Properties>
</file>