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For transitional anatomy the gold standard for numeration remains</w:t>
      </w:r>
      <w:r>
        <w:t xml:space="preserve"> </w:t>
      </w:r>
      <w:r>
        <w:t xml:space="preserve">whole-spine imaging and counting caudally from C2 </w:t>
      </w:r>
      <w:r>
        <w:t xml:space="preserve">. Abdominal CT does not</w:t>
      </w:r>
      <w:r>
        <w:t xml:space="preserve"> </w:t>
      </w:r>
      <w:r>
        <w:t xml:space="preserve">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t xml:space="preserve">The project began as a surgeon’s question: whether a vertebra can be named from the</w:t>
      </w:r>
      <w:r>
        <w:t xml:space="preserve"> </w:t>
      </w:r>
      <w:r>
        <w:t xml:space="preserve">anatomy in front of the reader, on the abdominal and spine-limited images a surgeon actually</w:t>
      </w:r>
      <w:r>
        <w:t xml:space="preserve"> </w:t>
      </w:r>
      <w:r>
        <w:t xml:space="preserve">has, in the patients where counting fails. The cohort suits that question. Every record</w:t>
      </w:r>
      <w:r>
        <w:t xml:space="preserve"> </w:t>
      </w:r>
      <w:r>
        <w:t xml:space="preserve">comes from one prospective trial protocol, ACRIN 6664 </w:t>
      </w:r>
      <w:r>
        <w:t xml:space="preserve">: 802 patients aged</w:t>
      </w:r>
      <w:r>
        <w:t xml:space="preserve"> </w:t>
      </w:r>
      <w:r>
        <w:t xml:space="preserve">50 and over, scanned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w:t>
      </w:r>
      <w:r>
        <w:t xml:space="preserve"> </w:t>
      </w:r>
      <w:r>
        <w:t xml:space="preserve">under a single protocol; the comparators pool several collections (CTSpine1K four,</w:t>
      </w:r>
      <w:r>
        <w:t xml:space="preserve"> </w:t>
      </w:r>
      <w:r>
        <w:t xml:space="preserve">CTPelvic1K seven), are multi-site by design (VerSe), or are routine clinical scans under</w:t>
      </w:r>
      <w:r>
        <w:t xml:space="preserve"> </w:t>
      </w:r>
      <w:r>
        <w:t xml:space="preserve">many protocols (TotalSegmentator). With the protocol held fixed, scanner effects on a</w:t>
      </w:r>
      <w:r>
        <w:t xml:space="preserve"> </w:t>
      </w:r>
      <w:r>
        <w:t xml:space="preserve">model become measurable rather than confounded. The price is the field of view: abdominal,</w:t>
      </w:r>
      <w:r>
        <w:t xml:space="preserve"> </w:t>
      </w:r>
      <w:r>
        <w:t xml:space="preserve">so the thoracic spine enters from below and C2 is never present (Sec. </w:t>
      </w:r>
      <w:hyperlink w:anchor="sec:applications">
        <w:r>
          <w:rPr>
            <w:rStyle w:val="Hyperlink"/>
          </w:rPr>
          <w:t xml:space="preserve">5</w:t>
        </w:r>
      </w:hyperlink>
      <w:r>
        <w:t xml:space="preserve">).</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so this release is its COLONOG</w:t>
      </w:r>
      <w:r>
        <w:t xml:space="preserve"> </w:t>
      </w:r>
      <w:r>
        <w:t xml:space="preserve">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Its authors do not report this: their evaluation excluded subjects</w:t>
      </w:r>
      <w:r>
        <w:t xml:space="preserve"> </w:t>
      </w:r>
      <w:r>
        <w:t xml:space="preserve">whose last rib was not visible, so it is recorded here as an observation from this</w:t>
      </w:r>
      <w:r>
        <w:t xml:space="preserve"> </w:t>
      </w:r>
      <w:r>
        <w:t xml:space="preserve">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segments far more of the body than any source used here but has no class for a sixth lumbar vertebra or a rib on a lumbar body; what this release adds is not more anatomy per scan but the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2026-09-06T19:09:36Z</dcterms:created>
  <dcterms:modified xsi:type="dcterms:W3CDTF">2026-09-06T19:09:36Z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For transitional anatomy the gold standard for numeration remains whole-spine imaging and counting caudally from C2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