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50.pdf" ContentType="application/pdf"/>
  <Override PartName="/word/media/rId32.pdf" ContentType="application/pdf"/>
  <Override PartName="/word/media/rId46.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8"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7"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of their union is a pseudolabel of all ribs in the volume. An extensive quality</w:t>
      </w:r>
      <w:r>
        <w:t xml:space="preserve"> </w:t>
      </w:r>
      <w:r>
        <w:t xml:space="preserve">control pipeline was used to triage possible errors rather than exhaustively reviewing all the</w:t>
      </w:r>
      <w:r>
        <w:t xml:space="preserve"> </w:t>
      </w:r>
      <w:r>
        <w:t xml:space="preserve">pseudolabels (Table </w:t>
      </w:r>
      <w:hyperlink w:anchor="tab:ribqc">
        <w:r>
          <w:rPr>
            <w:rStyle w:val="Hyperlink"/>
          </w:rPr>
          <w:t xml:space="preserve">3</w:t>
        </w:r>
      </w:hyperlink>
      <w:r>
        <w:t xml:space="preserve">). Two label-based checks gated the triage: a rib bone</w:t>
      </w:r>
      <w:r>
        <w:t xml:space="preserve"> </w:t>
      </w:r>
      <w:r>
        <w:t xml:space="preserve">carrying two identifiers, and a rib that never reaches the spine. They selected 152 records;</w:t>
      </w:r>
      <w:r>
        <w:t xml:space="preserve"> </w:t>
      </w:r>
      <w:r>
        <w:t xml:space="preserve">148 were reviewed and corrected, and four were not and are identified in the release.</w:t>
      </w:r>
      <w:r>
        <w:t xml:space="preserve"> </w:t>
      </w:r>
      <w:r>
        <w:t xml:space="preserve">Reviewers were medical students working through  </w:t>
      </w:r>
      <w:r>
        <w:t xml:space="preserve">, trained against a</w:t>
      </w:r>
      <w:r>
        <w:t xml:space="preserve"> </w:t>
      </w:r>
      <w:r>
        <w:t xml:space="preserve">written labeling protocol, with every correction attributed to its annotator, and a save was</w:t>
      </w:r>
      <w:r>
        <w:t xml:space="preserve"> </w:t>
      </w:r>
      <w:r>
        <w:t xml:space="preserve">refused until the review checks passed. Ribs are named for the vertebra they articulate with,</w:t>
      </w:r>
      <w:r>
        <w:t xml:space="preserve"> </w:t>
      </w:r>
      <w:r>
        <w:t xml:space="preserve">so after review the remaining whole-side shifts were renumbered against the vertebrae by rule;</w:t>
      </w:r>
      <w:r>
        <w:t xml:space="preserve"> </w:t>
      </w:r>
      <w:r>
        <w:t xml:space="preserve">the release-stage incidence is therefore a consistency check on that rule, and the two earlier</w:t>
      </w:r>
      <w:r>
        <w:t xml:space="preserve"> </w:t>
      </w:r>
      <w:r>
        <w:t xml:space="preserve">stages are the independent measure of the pseudolabel and of the reviewers.</w:t>
      </w:r>
    </w:p>
    <w:bookmarkStart w:id="16" w:name="tab:ribqc"/>
    <w:p>
      <w:pPr>
        <w:pStyle w:val="TableCaption"/>
      </w:pPr>
      <w:r>
        <w:t xml:space="preserve">Rib quality control by stage. Gates block a save or a release; rules run after</w:t>
      </w:r>
      <w:r>
        <w:t xml:space="preserve"> </w:t>
      </w:r>
      <w:r>
        <w:t xml:space="preserve">review. Incidence: raw pseudolabel</w:t>
      </w:r>
      <w:r>
        <w:t xml:space="preserve"> </w:t>
      </w:r>
      <m:oMath>
        <m:r>
          <m:rPr>
            <m:sty m:val="p"/>
          </m:rPr>
          <m:t>→</m:t>
        </m:r>
      </m:oMath>
      <w:r>
        <w:t xml:space="preserve"> </w:t>
      </w:r>
      <w:r>
        <w:t xml:space="preserve">after student correction</w:t>
      </w:r>
      <w:r>
        <w:t xml:space="preserve"> </w:t>
      </w:r>
      <m:oMath>
        <m:r>
          <m:rPr>
            <m:sty m:val="p"/>
          </m:rPr>
          <m:t>→</m:t>
        </m:r>
      </m:oMath>
      <w:r>
        <w:t xml:space="preserve"> </w:t>
      </w:r>
      <w:r>
        <w:t xml:space="preserve">release.</w:t>
      </w:r>
    </w:p>
    <w:tbl>
      <w:tblPr>
        <w:tblStyle w:val="Table"/>
        <w:tblW w:type="pct" w:w="3050"/>
        <w:tblLayout w:type="fixed"/>
        <w:tblLook w:firstRow="1" w:lastRow="0" w:firstColumn="0" w:lastColumn="0" w:noHBand="0" w:noVBand="0" w:val="0020"/>
        <w:tblCaption w:val="Rib quality control by stage. Gates block a save or a release; rules run after review. Incidence: raw pseudolabel \rightarrow after student correction \rightarrow release."/>
      </w:tblPr>
      <w:tblGrid>
        <w:gridCol w:w="0"/>
        <w:gridCol w:w="2692"/>
        <w:gridCol w:w="2138"/>
      </w:tblGrid>
      <w:tr>
        <w:trPr>
          <w:tblHeader w:val="on"/>
        </w:trPr>
        <w:tc>
          <w:tcPr/>
          <w:p>
            <w:pPr>
              <w:pStyle w:val="Compact"/>
              <w:jc w:val="left"/>
            </w:pPr>
            <w:r>
              <w:t xml:space="preserve">Stage</w:t>
            </w:r>
          </w:p>
        </w:tc>
        <w:tc>
          <w:tcPr/>
          <w:p>
            <w:pPr>
              <w:pStyle w:val="Compact"/>
              <w:jc w:val="left"/>
            </w:pPr>
            <w:r>
              <w:t xml:space="preserve">Checks</w:t>
            </w:r>
          </w:p>
        </w:tc>
        <w:tc>
          <w:tcPr/>
          <w:p>
            <w:pPr>
              <w:pStyle w:val="Compact"/>
              <w:jc w:val="left"/>
            </w:pPr>
            <w:r>
              <w:t xml:space="preserve">Finding</w:t>
            </w:r>
          </w:p>
        </w:tc>
      </w:tr>
      <w:tr>
        <w:tc>
          <w:tcPr/>
          <w:p>
            <w:pPr>
              <w:pStyle w:val="Compact"/>
              <w:jc w:val="left"/>
            </w:pPr>
            <w:r>
              <w:t xml:space="preserve">Triage gates</w:t>
            </w:r>
          </w:p>
        </w:tc>
        <w:tc>
          <w:tcPr/>
          <w:p>
            <w:pPr>
              <w:pStyle w:val="Compact"/>
              <w:jc w:val="left"/>
            </w:pPr>
            <w:r>
              <w:t xml:space="preserve">one bone, one number; rib reaches the spine</w:t>
            </w:r>
          </w:p>
        </w:tc>
        <w:tc>
          <w:tcPr/>
          <w:p>
            <w:pPr>
              <w:pStyle w:val="Compact"/>
              <w:jc w:val="left"/>
            </w:pPr>
            <w:r>
              <w:t xml:space="preserve">152 records, 584 bones</w:t>
            </w:r>
          </w:p>
        </w:tc>
      </w:tr>
      <w:tr>
        <w:tc>
          <w:tcPr/>
          <w:p>
            <w:pPr>
              <w:pStyle w:val="Compact"/>
              <w:jc w:val="left"/>
            </w:pPr>
            <w:r>
              <w:t xml:space="preserve">Review gates</w:t>
            </w:r>
          </w:p>
        </w:tc>
        <w:tc>
          <w:tcPr/>
          <w:p>
            <w:pPr>
              <w:pStyle w:val="Compact"/>
              <w:jc w:val="left"/>
            </w:pPr>
            <w:r>
              <w:t xml:space="preserve">one piece; consecutive; rib</w:t>
            </w:r>
            <w:r>
              <w:t xml:space="preserve"> </w:t>
            </w:r>
            <m:oMath>
              <m:r>
                <m:t>N</m:t>
              </m:r>
            </m:oMath>
            <w:r>
              <w:t xml:space="preserve"> </w:t>
            </w:r>
            <w:r>
              <w:t xml:space="preserve">on T</w:t>
            </w:r>
            <m:oMath>
              <m:r>
                <m:t>N</m:t>
              </m:r>
            </m:oMath>
            <w:r>
              <w:t xml:space="preserve">; spine untouched</w:t>
            </w:r>
          </w:p>
        </w:tc>
        <w:tc>
          <w:tcPr/>
          <w:p>
            <w:pPr>
              <w:pStyle w:val="Compact"/>
              <w:jc w:val="left"/>
            </w:pPr>
            <w:r>
              <w:t xml:space="preserve">148 corrected, 4 not</w:t>
            </w:r>
          </w:p>
        </w:tc>
      </w:tr>
      <w:tr>
        <w:tc>
          <w:tcPr/>
          <w:p>
            <w:pPr>
              <w:pStyle w:val="Compact"/>
              <w:jc w:val="left"/>
            </w:pPr>
            <w:r>
              <w:t xml:space="preserve">Rules</w:t>
            </w:r>
          </w:p>
        </w:tc>
        <w:tc>
          <w:tcPr/>
          <w:p>
            <w:pPr>
              <w:pStyle w:val="Compact"/>
              <w:jc w:val="left"/>
            </w:pPr>
            <w:r>
              <w:t xml:space="preserve">lumbar rib</w:t>
            </w:r>
            <w:r>
              <w:t xml:space="preserve"> </w:t>
            </w:r>
            <m:oMath>
              <m:r>
                <m:rPr>
                  <m:sty m:val="p"/>
                </m:rPr>
                <m:t>→</m:t>
              </m:r>
            </m:oMath>
            <w:r>
              <w:t xml:space="preserve"> </w:t>
            </w:r>
            <w:r>
              <w:t xml:space="preserve">60/61; cage shift; anchor and count</w:t>
            </w:r>
          </w:p>
        </w:tc>
        <w:tc>
          <w:tcPr/>
          <w:p>
            <w:pPr>
              <w:pStyle w:val="Compact"/>
              <w:jc w:val="left"/>
            </w:pPr>
            <w:r>
              <w:t xml:space="preserve">16 records; 11 of 27 shifted</w:t>
            </w:r>
          </w:p>
        </w:tc>
      </w:tr>
      <w:tr>
        <w:tc>
          <w:tcPr/>
          <w:p>
            <w:pPr>
              <w:pStyle w:val="Compact"/>
              <w:jc w:val="left"/>
            </w:pPr>
            <w:r>
              <w:t xml:space="preserve">Release gates</w:t>
            </w:r>
          </w:p>
        </w:tc>
        <w:tc>
          <w:tcPr/>
          <w:p>
            <w:pPr>
              <w:pStyle w:val="Compact"/>
              <w:jc w:val="left"/>
            </w:pPr>
            <w:r>
              <w:t xml:space="preserve">geometry, ids, sides; physiological envelope</w:t>
            </w:r>
          </w:p>
        </w:tc>
        <w:tc>
          <w:tcPr/>
          <w:p>
            <w:pPr>
              <w:pStyle w:val="Compact"/>
              <w:jc w:val="left"/>
            </w:pPr>
            <w:r>
              <w:t xml:space="preserve">802/802; 391 of</w:t>
            </w:r>
            <w:r>
              <w:t xml:space="preserve"> </w:t>
            </w:r>
            <m:oMath>
              <m:r>
                <m:rPr>
                  <m:sty m:val="p"/>
                </m:rPr>
                <m:t>∼</m:t>
              </m:r>
            </m:oMath>
            <w:r>
              <w:t xml:space="preserve">75</w:t>
            </w:r>
            <w:r>
              <w:t xml:space="preserve">,</w:t>
            </w:r>
            <w:r>
              <w:t xml:space="preserve">000 values</w:t>
            </w:r>
          </w:p>
        </w:tc>
      </w:tr>
      <w:tr>
        <w:tc>
          <w:tcPr/>
          <w:p>
            <w:pPr>
              <w:pStyle w:val="Compact"/>
              <w:jc w:val="left"/>
            </w:pPr>
            <w:r>
              <w:t xml:space="preserve">Incidence</w:t>
            </w:r>
          </w:p>
        </w:tc>
        <w:tc>
          <w:tcPr/>
          <w:p>
            <w:pPr>
              <w:pStyle w:val="Compact"/>
              <w:jc w:val="left"/>
            </w:pPr>
            <w:r>
              <w:t xml:space="preserve">offset ribs / misnumbered records</w:t>
            </w:r>
          </w:p>
        </w:tc>
        <w:tc>
          <w:tcPr/>
          <w:p>
            <w:pPr>
              <w:pStyle w:val="Compact"/>
              <w:jc w:val="left"/>
            </w:pPr>
            <w:r>
              <w:t xml:space="preserve">3.1%/24</w:t>
            </w:r>
            <w:r>
              <w:t xml:space="preserve"> </w:t>
            </w:r>
            <m:oMath>
              <m:r>
                <m:rPr>
                  <m:sty m:val="p"/>
                </m:rPr>
                <m:t>→</m:t>
              </m:r>
            </m:oMath>
            <w:r>
              <w:t xml:space="preserve"> </w:t>
            </w:r>
            <w:r>
              <w:t xml:space="preserve">1.9%/16</w:t>
            </w:r>
            <w:r>
              <w:t xml:space="preserve"> </w:t>
            </w:r>
            <m:oMath>
              <m:r>
                <m:rPr>
                  <m:sty m:val="p"/>
                </m:rPr>
                <m:t>→</m:t>
              </m:r>
            </m:oMath>
            <w:r>
              <w:t xml:space="preserve"> </w:t>
            </w:r>
            <w:r>
              <w:t xml:space="preserve">0.035%/0</w:t>
            </w:r>
          </w:p>
        </w:tc>
      </w:tr>
    </w:tbl>
    <w:bookmarkEnd w:id="16"/>
    <w:bookmarkEnd w:id="17"/>
    <w:bookmarkStart w:id="22"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1" w:name="fig:anchors"/>
    <w:p>
      <w:pPr>
        <w:pStyle w:val="CaptionedFigure"/>
      </w:pPr>
      <w:r>
        <w:drawing>
          <wp:inline>
            <wp:extent cx="5334000" cy="1345176"/>
            <wp:effectExtent b="0" l="0" r="0" t="0"/>
            <wp:docPr descr="" title="" id="19" name="Picture"/>
            <a:graphic>
              <a:graphicData uri="http://schemas.openxmlformats.org/drawingml/2006/picture">
                <pic:pic>
                  <pic:nvPicPr>
                    <pic:cNvPr descr="figures/fig_anchors.pdf" id="20" name="Picture"/>
                    <pic:cNvPicPr>
                      <a:picLocks noChangeArrowheads="1" noChangeAspect="1"/>
                    </pic:cNvPicPr>
                  </pic:nvPicPr>
                  <pic:blipFill>
                    <a:blip r:embed="rId18"/>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1"/>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2"/>
    <w:bookmarkStart w:id="26"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3">
        <w:r>
          <w:rPr>
            <w:rStyle w:val="Hyperlink"/>
          </w:rPr>
          <w:t xml:space="preserve">https://huggingface.co/OpenSpineConsortium/spinopelvic-seg-checkpoints</w:t>
        </w:r>
      </w:hyperlink>
      <w:r>
        <w:t xml:space="preserve">, trained with</w:t>
      </w:r>
      <w:r>
        <w:t xml:space="preserve"> </w:t>
      </w:r>
      <w:hyperlink r:id="rId24">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5">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6"/>
    <w:bookmarkStart w:id="27"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7"/>
    <w:bookmarkStart w:id="29"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8"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8"/>
    <w:bookmarkEnd w:id="29"/>
    <w:bookmarkStart w:id="37"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30"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1"/>
    <w:bookmarkStart w:id="36"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5" w:name="fig:hardware"/>
    <w:p>
      <w:pPr>
        <w:pStyle w:val="CaptionedFigure"/>
      </w:pPr>
      <w:r>
        <w:drawing>
          <wp:inline>
            <wp:extent cx="5334000" cy="1144542"/>
            <wp:effectExtent b="0" l="0" r="0" t="0"/>
            <wp:docPr descr="" title="" id="33" name="Picture"/>
            <a:graphic>
              <a:graphicData uri="http://schemas.openxmlformats.org/drawingml/2006/picture">
                <pic:pic>
                  <pic:nvPicPr>
                    <pic:cNvPr descr="figures/fig_hardware.pdf" id="34" name="Picture"/>
                    <pic:cNvPicPr>
                      <a:picLocks noChangeArrowheads="1" noChangeAspect="1"/>
                    </pic:cNvPicPr>
                  </pic:nvPicPr>
                  <pic:blipFill>
                    <a:blip r:embed="rId32"/>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5"/>
    <w:bookmarkEnd w:id="36"/>
    <w:bookmarkEnd w:id="37"/>
    <w:bookmarkEnd w:id="38"/>
    <w:bookmarkStart w:id="40"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9"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9"/>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40"/>
    <w:bookmarkStart w:id="45"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4</w:t>
        </w:r>
      </w:hyperlink>
      <w:r>
        <w:t xml:space="preserve"> </w:t>
      </w:r>
      <w:r>
        <w:t xml:space="preserve">places against two series.</w:t>
      </w:r>
    </w:p>
    <w:bookmarkStart w:id="44" w:name="fig:validation"/>
    <w:p>
      <w:pPr>
        <w:pStyle w:val="CaptionedFigure"/>
      </w:pPr>
      <w:r>
        <w:drawing>
          <wp:inline>
            <wp:extent cx="5334000" cy="1104674"/>
            <wp:effectExtent b="0" l="0" r="0" t="0"/>
            <wp:docPr descr="" title="" id="42" name="Picture"/>
            <a:graphic>
              <a:graphicData uri="http://schemas.openxmlformats.org/drawingml/2006/picture">
                <pic:pic>
                  <pic:nvPicPr>
                    <pic:cNvPr descr="figures/fig_validation.pdf" id="43" name="Picture"/>
                    <pic:cNvPicPr>
                      <a:picLocks noChangeArrowheads="1" noChangeAspect="1"/>
                    </pic:cNvPicPr>
                  </pic:nvPicPr>
                  <pic:blipFill>
                    <a:blip r:embed="rId41"/>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4"/>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5"/>
    <w:bookmarkStart w:id="56"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5"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9" w:name="fig:levelatlas"/>
    <w:p>
      <w:pPr>
        <w:pStyle w:val="CaptionedFigure"/>
      </w:pPr>
      <w:r>
        <w:drawing>
          <wp:inline>
            <wp:extent cx="5334000" cy="1190055"/>
            <wp:effectExtent b="0" l="0" r="0" t="0"/>
            <wp:docPr descr="" title="" id="47" name="Picture"/>
            <a:graphic>
              <a:graphicData uri="http://schemas.openxmlformats.org/drawingml/2006/picture">
                <pic:pic>
                  <pic:nvPicPr>
                    <pic:cNvPr descr="figures/fig_levelatlas.pdf" id="48" name="Picture"/>
                    <pic:cNvPicPr>
                      <a:picLocks noChangeArrowheads="1" noChangeAspect="1"/>
                    </pic:cNvPicPr>
                  </pic:nvPicPr>
                  <pic:blipFill>
                    <a:blip r:embed="rId46"/>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9"/>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3" w:name="fig:fov"/>
    <w:p>
      <w:pPr>
        <w:pStyle w:val="CaptionedFigure"/>
      </w:pPr>
      <w:r>
        <w:drawing>
          <wp:inline>
            <wp:extent cx="2895600" cy="927100"/>
            <wp:effectExtent b="0" l="0" r="0" t="0"/>
            <wp:docPr descr="" title="" id="51" name="Picture"/>
            <a:graphic>
              <a:graphicData uri="http://schemas.openxmlformats.org/drawingml/2006/picture">
                <pic:pic>
                  <pic:nvPicPr>
                    <pic:cNvPr descr="figures/fig_fov.pdf" id="52" name="Picture"/>
                    <pic:cNvPicPr>
                      <a:picLocks noChangeArrowheads="1" noChangeAspect="1"/>
                    </pic:cNvPicPr>
                  </pic:nvPicPr>
                  <pic:blipFill>
                    <a:blip r:embed="rId50"/>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3"/>
    <w:p>
      <w:pPr>
        <w:pStyle w:val="BodyText"/>
      </w:pPr>
      <w:r>
        <w:rPr>
          <w:i/>
          <w:iCs/>
        </w:rPr>
        <w:t xml:space="preserve">Limitations: coverage and cohort.</w:t>
      </w:r>
      <w:bookmarkStart w:id="54" w:name="sec:limitations"/>
      <w:bookmarkEnd w:id="54"/>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5"/>
    <w:bookmarkEnd w:id="56"/>
    <w:bookmarkStart w:id="57"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7"/>
    <w:bookmarkStart w:id="58"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8"/>
    <w:bookmarkStart w:id="61"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9">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60">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5">
        <w:r>
          <w:rPr>
            <w:rStyle w:val="Hyperlink"/>
          </w:rPr>
          <w:t xml:space="preserve">https://github.com/OpenSpineConsortium/OpenSpineToolkit</w:t>
        </w:r>
      </w:hyperlink>
      <w:r>
        <w:t xml:space="preserve">.</w:t>
      </w:r>
    </w:p>
    <w:bookmarkEnd w:id="61"/>
    <w:bookmarkStart w:id="62"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2"/>
    <w:bookmarkStart w:id="63" w:name="conflict-of-interest"/>
    <w:p>
      <w:pPr>
        <w:pStyle w:val="Heading1"/>
      </w:pPr>
      <w:r>
        <w:t xml:space="preserve">Conflict of Interest</w:t>
      </w:r>
    </w:p>
    <w:p>
      <w:pPr>
        <w:pStyle w:val="FirstParagraph"/>
      </w:pPr>
      <w:r>
        <w:t xml:space="preserve">The authors have no relevant conflicts of interest to disclose.</w:t>
      </w:r>
    </w:p>
    <w:bookmarkEnd w:id="63"/>
    <w:bookmarkStart w:id="67"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4">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5">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6">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7"/>
    <w:bookmarkStart w:id="68"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50" Target="media/rId50.pdf" /><Relationship Type="http://schemas.openxmlformats.org/officeDocument/2006/relationships/image" Id="rId32" Target="media/rId32.pdf" /><Relationship Type="http://schemas.openxmlformats.org/officeDocument/2006/relationships/image" Id="rId46" Target="media/rId46.pdf" /><Relationship Type="http://schemas.openxmlformats.org/officeDocument/2006/relationships/image" Id="rId41" Target="media/rId41.pdf" /><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2026-09-13T16:55:25Z</dcterms:created>
  <dcterms:modified xsi:type="dcterms:W3CDTF">2026-09-13T16:55:25Z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