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assigned by two radiology resident physicians.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cannot address this, and size is not the reason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). Spine datasets omit the pelvis; pelvic datasets do not number the</w:t>
      </w:r>
      <w:r>
        <w:t xml:space="preserve"> </w:t>
      </w:r>
      <w:r>
        <w:t xml:space="preserve">vertebrae; and TotalSegmentator, the whole-body scheme, has no class for a sixth lumbar</w:t>
      </w:r>
      <w:r>
        <w:t xml:space="preserve"> </w:t>
      </w:r>
      <w:r>
        <w:t xml:space="preserve">vertebra or for a rib on a lumbar vertebra. A six-lumbar spine therefore cannot be recorded</w:t>
      </w:r>
      <w:r>
        <w:t xml:space="preserve"> </w:t>
      </w:r>
      <w:r>
        <w:t xml:space="preserve">in any of them, however good the segmentation. VerSe </w:t>
      </w:r>
      <w:r>
        <w:t xml:space="preserve"> </w:t>
      </w:r>
      <w:r>
        <w:t xml:space="preserve">makes the</w:t>
      </w:r>
      <w:r>
        <w:t xml:space="preserve"> </w:t>
      </w:r>
      <w:r>
        <w:t xml:space="preserve">point most clearly 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b): it deliberately enriched for anatomical</w:t>
      </w:r>
      <w:r>
        <w:t xml:space="preserve"> </w:t>
      </w:r>
      <w:r>
        <w:t xml:space="preserve">variants and graded them by Castellvi, yet left the graded vertebrae fused to the sacrum</w:t>
      </w:r>
      <w:r>
        <w:t xml:space="preserve"> </w:t>
      </w:r>
      <w:r>
        <w:t xml:space="preserve">unsegmented.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</w:t>
      </w:r>
    </w:p>
    <w:p>
      <w:pPr>
        <w:pStyle w:val="BodyText"/>
      </w:pPr>
      <w:r>
        <w:rPr>
          <w:i/>
          <w:iCs/>
        </w:rPr>
        <w:t xml:space="preserve">And the morphology may be local rather than global.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A thoracic vertebra differs in shape from a lumbar one — in the span of its</w:t>
      </w:r>
      <w:r>
        <w:t xml:space="preserve"> </w:t>
      </w:r>
      <w:r>
        <w:t xml:space="preserve">transverse processes relative to its body, in the proportions of its endplates and canal —</w:t>
      </w:r>
      <w:r>
        <w:t xml:space="preserve"> </w:t>
      </w:r>
      <w:r>
        <w:t xml:space="preserve">and if that difference holds at the boundary itself, the phenotype is decidable from the</w:t>
      </w:r>
      <w:r>
        <w:t xml:space="preserve"> </w:t>
      </w:r>
      <w:r>
        <w:t xml:space="preserve">vertebra in front of the reader without 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two radiology resident physicians.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One of the two radiology resident physicians read all 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does not constitute human</w:t>
      </w:r>
      <w:r>
        <w:t xml:space="preserve"> </w:t>
      </w:r>
      <w:r>
        <w:t xml:space="preserve">participant research under the Common Rule at 45 CFR 46, and that review and oversight are</w:t>
      </w:r>
      <w:r>
        <w:t xml:space="preserve"> </w:t>
      </w:r>
      <w:r>
        <w:t xml:space="preserve">therefore not required.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2026-09-04T02:09:02Z</dcterms:created>
  <dcterms:modified xsi:type="dcterms:W3CDTF">2026-09-04T02:09:02Z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at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assigned by two radiology resident physicians.</vt:lpwstr>
  </property>
</Properties>
</file>